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第三批国家级一流本科课程申报书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课程名称：人机工程学</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r>
        <w:rPr>
          <w:rFonts w:ascii="黑体" w:hAnsi="黑体" w:eastAsia="黑体" w:cs="Times New Roman"/>
          <w:sz w:val="32"/>
          <w:szCs w:val="36"/>
        </w:rPr>
        <w:t>08</w:t>
      </w:r>
      <w:r>
        <w:rPr>
          <w:rFonts w:hint="eastAsia" w:ascii="黑体" w:hAnsi="黑体" w:eastAsia="黑体" w:cs="Times New Roman"/>
          <w:sz w:val="32"/>
          <w:szCs w:val="36"/>
        </w:rPr>
        <w:t>0</w:t>
      </w:r>
      <w:r>
        <w:rPr>
          <w:rFonts w:ascii="黑体" w:hAnsi="黑体" w:eastAsia="黑体" w:cs="Times New Roman"/>
          <w:sz w:val="32"/>
          <w:szCs w:val="36"/>
        </w:rPr>
        <w:t>2</w:t>
      </w:r>
      <w:r>
        <w:rPr>
          <w:rFonts w:hint="eastAsia" w:ascii="黑体" w:hAnsi="黑体" w:eastAsia="黑体" w:cs="Times New Roman"/>
          <w:sz w:val="32"/>
          <w:szCs w:val="36"/>
        </w:rPr>
        <w:t>05</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课程负责人：张玲玉</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联系电话：13890053001</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申报学校：四川轻化工大学</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填表日期：202</w:t>
      </w:r>
      <w:r>
        <w:rPr>
          <w:rFonts w:ascii="黑体" w:hAnsi="黑体" w:eastAsia="黑体"/>
          <w:sz w:val="32"/>
          <w:szCs w:val="36"/>
        </w:rPr>
        <w:t>3</w:t>
      </w:r>
      <w:r>
        <w:rPr>
          <w:rFonts w:hint="eastAsia" w:ascii="黑体" w:hAnsi="黑体" w:eastAsia="黑体"/>
          <w:sz w:val="32"/>
          <w:szCs w:val="36"/>
        </w:rPr>
        <w:t>年</w:t>
      </w:r>
      <w:r>
        <w:rPr>
          <w:rFonts w:ascii="黑体" w:hAnsi="黑体" w:eastAsia="黑体"/>
          <w:sz w:val="32"/>
          <w:szCs w:val="36"/>
        </w:rPr>
        <w:t>12</w:t>
      </w:r>
      <w:r>
        <w:rPr>
          <w:rFonts w:hint="eastAsia" w:ascii="黑体" w:hAnsi="黑体" w:eastAsia="黑体"/>
          <w:sz w:val="32"/>
          <w:szCs w:val="36"/>
        </w:rPr>
        <w:t>月</w:t>
      </w:r>
      <w:r>
        <w:rPr>
          <w:rFonts w:ascii="黑体" w:hAnsi="黑体" w:eastAsia="黑体"/>
          <w:sz w:val="32"/>
          <w:szCs w:val="36"/>
        </w:rPr>
        <w:t>17</w:t>
      </w:r>
      <w:r>
        <w:rPr>
          <w:rFonts w:hint="eastAsia" w:ascii="黑体" w:hAnsi="黑体" w:eastAsia="黑体"/>
          <w:sz w:val="32"/>
          <w:szCs w:val="36"/>
        </w:rPr>
        <w:t>日</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单位：四川省教厅</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.须截图上传教务系统中课程已完成学期的开设信息。申报课程名称须与教务系统中显示情况一致、所有团队主要成员须为教务系统中显示的授课教师。</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.文中○为单选；□可多选。</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10"/>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179"/>
        <w:gridCol w:w="1179"/>
        <w:gridCol w:w="229"/>
        <w:gridCol w:w="950"/>
        <w:gridCol w:w="951"/>
        <w:gridCol w:w="228"/>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587"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人机工程学</w:t>
            </w:r>
          </w:p>
        </w:tc>
        <w:tc>
          <w:tcPr>
            <w:tcW w:w="1901"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 w:hAnsi="仿宋" w:eastAsia="仿宋" w:cs="仿宋_GB2312"/>
                <w:kern w:val="0"/>
                <w:sz w:val="24"/>
                <w:szCs w:val="24"/>
              </w:rPr>
              <w:t>√</w:t>
            </w: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张玲玉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四川轻化工大学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kern w:val="0"/>
                <w:sz w:val="24"/>
                <w:szCs w:val="24"/>
              </w:rPr>
              <w:t>是否国家级一流本科专业建设点</w:t>
            </w:r>
          </w:p>
        </w:tc>
        <w:tc>
          <w:tcPr>
            <w:tcW w:w="1179"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 w:hAnsi="仿宋" w:eastAsia="仿宋" w:cs="仿宋_GB2312"/>
                <w:kern w:val="0"/>
                <w:sz w:val="24"/>
                <w:szCs w:val="24"/>
              </w:rPr>
              <w:t>√</w:t>
            </w:r>
            <w:r>
              <w:rPr>
                <w:rFonts w:hint="eastAsia" w:ascii="仿宋_GB2312" w:hAnsi="黑体" w:eastAsia="仿宋_GB2312" w:cs="黑体"/>
                <w:sz w:val="24"/>
                <w:szCs w:val="24"/>
              </w:rPr>
              <w:t>否</w:t>
            </w:r>
          </w:p>
        </w:tc>
        <w:tc>
          <w:tcPr>
            <w:tcW w:w="1179"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（如是）专业名称</w:t>
            </w:r>
          </w:p>
        </w:tc>
        <w:tc>
          <w:tcPr>
            <w:tcW w:w="1179" w:type="dxa"/>
            <w:gridSpan w:val="2"/>
            <w:vAlign w:val="center"/>
          </w:tcPr>
          <w:p>
            <w:pPr>
              <w:spacing w:line="340" w:lineRule="exact"/>
              <w:rPr>
                <w:rFonts w:ascii="仿宋_GB2312" w:hAnsi="仿宋_GB2312" w:eastAsia="仿宋_GB2312" w:cs="仿宋_GB2312"/>
                <w:kern w:val="0"/>
                <w:sz w:val="24"/>
                <w:szCs w:val="24"/>
              </w:rPr>
            </w:pPr>
          </w:p>
        </w:tc>
        <w:tc>
          <w:tcPr>
            <w:tcW w:w="1179"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专业代码</w:t>
            </w:r>
          </w:p>
        </w:tc>
        <w:tc>
          <w:tcPr>
            <w:tcW w:w="1180" w:type="dxa"/>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01751005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工设201</w:t>
            </w:r>
            <w:r>
              <w:rPr>
                <w:rFonts w:ascii="仿宋_GB2312" w:hAnsi="仿宋_GB2312" w:eastAsia="仿宋_GB2312" w:cs="仿宋_GB2312"/>
                <w:kern w:val="0"/>
                <w:sz w:val="24"/>
                <w:szCs w:val="24"/>
              </w:rPr>
              <w:t>8</w:t>
            </w:r>
            <w:r>
              <w:rPr>
                <w:rFonts w:hint="eastAsia" w:ascii="仿宋_GB2312" w:hAnsi="仿宋_GB2312" w:eastAsia="仿宋_GB2312" w:cs="仿宋_GB2312"/>
                <w:kern w:val="0"/>
                <w:sz w:val="24"/>
                <w:szCs w:val="24"/>
              </w:rPr>
              <w:t>级、2</w:t>
            </w:r>
            <w:r>
              <w:rPr>
                <w:rFonts w:ascii="仿宋_GB2312" w:hAnsi="仿宋_GB2312" w:eastAsia="仿宋_GB2312" w:cs="仿宋_GB2312"/>
                <w:kern w:val="0"/>
                <w:sz w:val="24"/>
                <w:szCs w:val="24"/>
              </w:rPr>
              <w:t>019</w:t>
            </w:r>
            <w:r>
              <w:rPr>
                <w:rFonts w:hint="eastAsia" w:ascii="仿宋_GB2312" w:hAnsi="仿宋_GB2312" w:eastAsia="仿宋_GB2312" w:cs="仿宋_GB2312"/>
                <w:kern w:val="0"/>
                <w:sz w:val="24"/>
                <w:szCs w:val="24"/>
              </w:rPr>
              <w:t>级、</w:t>
            </w:r>
            <w:r>
              <w:rPr>
                <w:rFonts w:ascii="仿宋_GB2312" w:hAnsi="仿宋_GB2312" w:eastAsia="仿宋_GB2312" w:cs="仿宋_GB2312"/>
                <w:kern w:val="0"/>
                <w:sz w:val="24"/>
                <w:szCs w:val="24"/>
              </w:rPr>
              <w:t>2020</w:t>
            </w:r>
            <w:r>
              <w:rPr>
                <w:rFonts w:hint="eastAsia" w:ascii="仿宋_GB2312" w:hAnsi="仿宋_GB2312" w:eastAsia="仿宋_GB2312" w:cs="仿宋_GB2312"/>
                <w:kern w:val="0"/>
                <w:sz w:val="24"/>
                <w:szCs w:val="24"/>
              </w:rPr>
              <w:t>级、2</w:t>
            </w:r>
            <w:r>
              <w:rPr>
                <w:rFonts w:ascii="仿宋_GB2312" w:hAnsi="仿宋_GB2312" w:eastAsia="仿宋_GB2312" w:cs="仿宋_GB2312"/>
                <w:kern w:val="0"/>
                <w:sz w:val="24"/>
                <w:szCs w:val="24"/>
              </w:rPr>
              <w:t>021</w:t>
            </w:r>
            <w:r>
              <w:rPr>
                <w:rFonts w:hint="eastAsia" w:ascii="仿宋_GB2312" w:hAnsi="仿宋_GB2312" w:eastAsia="仿宋_GB2312" w:cs="仿宋_GB2312"/>
                <w:kern w:val="0"/>
                <w:sz w:val="24"/>
                <w:szCs w:val="24"/>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总学时：4</w:t>
            </w:r>
            <w:r>
              <w:rPr>
                <w:rFonts w:ascii="仿宋_GB2312" w:hAnsi="仿宋_GB2312" w:eastAsia="仿宋_GB2312" w:cs="仿宋_GB2312"/>
                <w:kern w:val="0"/>
                <w:sz w:val="24"/>
                <w:szCs w:val="24"/>
              </w:rPr>
              <w:t>8</w:t>
            </w:r>
            <w:r>
              <w:rPr>
                <w:rFonts w:hint="eastAsia"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线上学时：</w:t>
            </w:r>
            <w:r>
              <w:rPr>
                <w:rFonts w:ascii="仿宋_GB2312" w:hAnsi="仿宋_GB2312" w:eastAsia="仿宋_GB2312" w:cs="仿宋_GB2312"/>
                <w:kern w:val="0"/>
                <w:sz w:val="24"/>
                <w:szCs w:val="24"/>
              </w:rPr>
              <w:t>24</w:t>
            </w:r>
            <w:r>
              <w:rPr>
                <w:rFonts w:hint="eastAsia"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课堂学时：2</w:t>
            </w:r>
            <w:r>
              <w:rPr>
                <w:rFonts w:ascii="仿宋_GB2312" w:hAnsi="仿宋_GB2312" w:eastAsia="仿宋_GB2312" w:cs="仿宋_GB2312"/>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工程制图、工业设计史论、设计方法论、造型设计基础、设计思维及表达、设计构成等。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产品开发设计、生活用品设计、智能装备设计、工业产品专题课程设计、毕业设计等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人机工程学  ISNB978-7-5682-0419-4 丁玉兰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北京理工出版社  2017年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drawing>
                <wp:anchor distT="0" distB="0" distL="114300" distR="114300" simplePos="0" relativeHeight="251659264" behindDoc="1" locked="0" layoutInCell="1" allowOverlap="1">
                  <wp:simplePos x="0" y="0"/>
                  <wp:positionH relativeFrom="column">
                    <wp:posOffset>-2540</wp:posOffset>
                  </wp:positionH>
                  <wp:positionV relativeFrom="paragraph">
                    <wp:posOffset>217805</wp:posOffset>
                  </wp:positionV>
                  <wp:extent cx="1616075" cy="1933575"/>
                  <wp:effectExtent l="19050" t="0" r="3175" b="0"/>
                  <wp:wrapTight wrapText="bothSides">
                    <wp:wrapPolygon>
                      <wp:start x="-255" y="0"/>
                      <wp:lineTo x="-255" y="21494"/>
                      <wp:lineTo x="21642" y="21494"/>
                      <wp:lineTo x="21642" y="0"/>
                      <wp:lineTo x="-255" y="0"/>
                    </wp:wrapPolygon>
                  </wp:wrapTight>
                  <wp:docPr id="3" name="图片 1" descr="C:\Users\Administrator\Desktop\2d85ea2b0f9112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strator\Desktop\2d85ea2b0f911269.jpg"/>
                          <pic:cNvPicPr>
                            <a:picLocks noChangeAspect="1" noChangeArrowheads="1"/>
                          </pic:cNvPicPr>
                        </pic:nvPicPr>
                        <pic:blipFill>
                          <a:blip r:embed="rId4" cstate="print"/>
                          <a:srcRect l="8995" r="7407"/>
                          <a:stretch>
                            <a:fillRect/>
                          </a:stretch>
                        </pic:blipFill>
                        <pic:spPr>
                          <a:xfrm>
                            <a:off x="0" y="0"/>
                            <a:ext cx="1616075" cy="1933575"/>
                          </a:xfrm>
                          <a:prstGeom prst="rect">
                            <a:avLst/>
                          </a:prstGeom>
                          <a:noFill/>
                          <a:ln w="9525">
                            <a:noFill/>
                            <a:miter lim="800000"/>
                            <a:headEnd/>
                            <a:tailEnd/>
                          </a:ln>
                        </pic:spPr>
                      </pic:pic>
                    </a:graphicData>
                  </a:graphic>
                </wp:anchor>
              </w:drawing>
            </w:r>
            <w:r>
              <w:rPr>
                <w:rFonts w:hint="eastAsia" w:ascii="仿宋_GB2312" w:hAnsi="仿宋_GB2312" w:eastAsia="仿宋_GB2312" w:cs="仿宋_GB2312"/>
                <w:kern w:val="0"/>
                <w:sz w:val="24"/>
                <w:szCs w:val="24"/>
              </w:rPr>
              <w:drawing>
                <wp:anchor distT="0" distB="0" distL="114300" distR="114300" simplePos="0" relativeHeight="251660288" behindDoc="1" locked="0" layoutInCell="1" allowOverlap="1">
                  <wp:simplePos x="0" y="0"/>
                  <wp:positionH relativeFrom="column">
                    <wp:posOffset>1664335</wp:posOffset>
                  </wp:positionH>
                  <wp:positionV relativeFrom="paragraph">
                    <wp:posOffset>217805</wp:posOffset>
                  </wp:positionV>
                  <wp:extent cx="1727835" cy="1990725"/>
                  <wp:effectExtent l="19050" t="0" r="5715" b="0"/>
                  <wp:wrapTight wrapText="bothSides">
                    <wp:wrapPolygon>
                      <wp:start x="-238" y="0"/>
                      <wp:lineTo x="-238" y="21497"/>
                      <wp:lineTo x="21671" y="21497"/>
                      <wp:lineTo x="21671" y="0"/>
                      <wp:lineTo x="-238" y="0"/>
                    </wp:wrapPolygon>
                  </wp:wrapTight>
                  <wp:docPr id="4" name="图片 3" descr="C:\Users\Administrator\AppData\Roaming\Tencent\Users\248855045\QQ\WinTemp\RichOle\H`ZXKYR8)V75)EWPMYQZE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C:\Users\Administrator\AppData\Roaming\Tencent\Users\248855045\QQ\WinTemp\RichOle\H`ZXKYR8)V75)EWPMYQZEIG.png"/>
                          <pic:cNvPicPr>
                            <a:picLocks noChangeAspect="1" noChangeArrowheads="1"/>
                          </pic:cNvPicPr>
                        </pic:nvPicPr>
                        <pic:blipFill>
                          <a:blip r:embed="rId5" cstate="print"/>
                          <a:srcRect/>
                          <a:stretch>
                            <a:fillRect/>
                          </a:stretch>
                        </pic:blipFill>
                        <pic:spPr>
                          <a:xfrm>
                            <a:off x="0" y="0"/>
                            <a:ext cx="1727835" cy="1990725"/>
                          </a:xfrm>
                          <a:prstGeom prst="rect">
                            <a:avLst/>
                          </a:prstGeom>
                          <a:noFill/>
                          <a:ln w="9525">
                            <a:noFill/>
                            <a:miter lim="800000"/>
                            <a:headEnd/>
                            <a:tailEnd/>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2023</w:t>
            </w:r>
            <w:r>
              <w:rPr>
                <w:rFonts w:hint="eastAsia" w:ascii="仿宋_GB2312" w:hAnsi="仿宋_GB2312" w:eastAsia="仿宋_GB2312" w:cs="仿宋_GB2312"/>
                <w:kern w:val="0"/>
                <w:sz w:val="24"/>
                <w:szCs w:val="24"/>
              </w:rPr>
              <w:t xml:space="preserve">年 </w:t>
            </w:r>
            <w:r>
              <w:rPr>
                <w:rFonts w:ascii="仿宋_GB2312" w:hAnsi="仿宋_GB2312" w:eastAsia="仿宋_GB2312" w:cs="仿宋_GB2312"/>
                <w:kern w:val="0"/>
                <w:sz w:val="24"/>
                <w:szCs w:val="24"/>
              </w:rPr>
              <w:t>9</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日—2</w:t>
            </w:r>
            <w:r>
              <w:rPr>
                <w:rFonts w:ascii="仿宋_GB2312" w:hAnsi="仿宋_GB2312" w:eastAsia="仿宋_GB2312" w:cs="仿宋_GB2312"/>
                <w:kern w:val="0"/>
                <w:sz w:val="24"/>
                <w:szCs w:val="24"/>
              </w:rPr>
              <w:t>024</w:t>
            </w:r>
            <w:r>
              <w:rPr>
                <w:rFonts w:hint="eastAsia" w:ascii="仿宋_GB2312" w:hAnsi="仿宋_GB2312" w:eastAsia="仿宋_GB2312" w:cs="仿宋_GB2312"/>
                <w:kern w:val="0"/>
                <w:sz w:val="24"/>
                <w:szCs w:val="24"/>
              </w:rPr>
              <w:t xml:space="preserve">年 </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15</w:t>
            </w:r>
            <w:r>
              <w:rPr>
                <w:rFonts w:hint="eastAsia" w:ascii="仿宋_GB2312" w:hAnsi="仿宋_GB2312" w:eastAsia="仿宋_GB2312" w:cs="仿宋_GB2312"/>
                <w:kern w:val="0"/>
                <w:sz w:val="24"/>
                <w:szCs w:val="24"/>
              </w:rPr>
              <w:t>日 课程名称：人机工程学 教师名称：张玲玉</w:t>
            </w:r>
          </w:p>
          <w:p>
            <w:pPr>
              <w:widowControl/>
              <w:jc w:val="left"/>
              <w:rPr>
                <w:rFonts w:ascii="宋体" w:hAnsi="宋体" w:eastAsia="宋体" w:cs="宋体"/>
                <w:kern w:val="0"/>
                <w:sz w:val="24"/>
                <w:szCs w:val="24"/>
              </w:rPr>
            </w:pPr>
            <w:r>
              <w:rPr>
                <w:rFonts w:ascii="宋体" w:hAnsi="宋体" w:eastAsia="宋体" w:cs="宋体"/>
                <w:kern w:val="0"/>
                <w:sz w:val="24"/>
                <w:szCs w:val="24"/>
              </w:rPr>
              <w:drawing>
                <wp:inline distT="0" distB="0" distL="0" distR="0">
                  <wp:extent cx="3606800" cy="1266825"/>
                  <wp:effectExtent l="0" t="0" r="0" b="0"/>
                  <wp:docPr id="12169091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90912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06800" cy="12668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2022</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9</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2023</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9</w:t>
            </w:r>
            <w:r>
              <w:rPr>
                <w:rFonts w:hint="eastAsia" w:ascii="仿宋_GB2312" w:hAnsi="仿宋_GB2312" w:eastAsia="仿宋_GB2312" w:cs="仿宋_GB2312"/>
                <w:kern w:val="0"/>
                <w:sz w:val="24"/>
                <w:szCs w:val="24"/>
              </w:rPr>
              <w:t>日 课程名称：人机工程学 教师名称：张玲玉</w:t>
            </w:r>
          </w:p>
          <w:p>
            <w:pPr>
              <w:widowControl/>
              <w:jc w:val="left"/>
              <w:rPr>
                <w:rFonts w:ascii="宋体" w:hAnsi="宋体" w:eastAsia="宋体" w:cs="宋体"/>
                <w:kern w:val="0"/>
                <w:sz w:val="24"/>
                <w:szCs w:val="24"/>
              </w:rPr>
            </w:pPr>
            <w:r>
              <w:rPr>
                <w:rFonts w:ascii="宋体" w:hAnsi="宋体" w:eastAsia="宋体" w:cs="宋体"/>
                <w:kern w:val="0"/>
                <w:sz w:val="24"/>
                <w:szCs w:val="24"/>
              </w:rPr>
              <w:drawing>
                <wp:inline distT="0" distB="0" distL="0" distR="0">
                  <wp:extent cx="3606800" cy="1470660"/>
                  <wp:effectExtent l="0" t="0" r="0" b="0"/>
                  <wp:docPr id="2664388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438821"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06800" cy="14706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 w:hAnsi="仿宋" w:eastAsia="仿宋" w:cs="仿宋_GB2312"/>
                <w:kern w:val="0"/>
                <w:sz w:val="24"/>
                <w:szCs w:val="24"/>
              </w:rPr>
              <w:t>√</w:t>
            </w:r>
            <w:r>
              <w:rPr>
                <w:rFonts w:hint="eastAsia" w:ascii="仿宋_GB2312" w:hAnsi="仿宋_GB2312" w:eastAsia="仿宋_GB2312" w:cs="仿宋_GB2312"/>
                <w:kern w:val="0"/>
                <w:sz w:val="24"/>
                <w:szCs w:val="24"/>
              </w:rPr>
              <w:t>其他课程（填写课程名称、学校、负责人、网址）</w:t>
            </w:r>
          </w:p>
          <w:p>
            <w:pPr>
              <w:spacing w:line="340" w:lineRule="exact"/>
              <w:rPr>
                <w:rFonts w:ascii="仿宋_GB2312" w:hAnsi="仿宋_GB2312" w:eastAsia="仿宋_GB2312" w:cs="仿宋_GB2312"/>
                <w:kern w:val="0"/>
                <w:sz w:val="24"/>
                <w:szCs w:val="24"/>
              </w:rPr>
            </w:pPr>
            <w:bookmarkStart w:id="0" w:name="_Hlk147509560"/>
            <w:r>
              <w:rPr>
                <w:rFonts w:hint="eastAsia" w:ascii="仿宋_GB2312" w:hAnsi="仿宋_GB2312" w:eastAsia="仿宋_GB2312" w:cs="仿宋_GB2312"/>
                <w:kern w:val="0"/>
                <w:sz w:val="24"/>
                <w:szCs w:val="24"/>
              </w:rPr>
              <w:t>中国大学慕课 四川轻化工大学（人机工程学S</w:t>
            </w:r>
            <w:r>
              <w:rPr>
                <w:rFonts w:ascii="仿宋_GB2312" w:hAnsi="仿宋_GB2312" w:eastAsia="仿宋_GB2312" w:cs="仿宋_GB2312"/>
                <w:kern w:val="0"/>
                <w:sz w:val="24"/>
                <w:szCs w:val="24"/>
              </w:rPr>
              <w:t>POC</w:t>
            </w:r>
            <w:r>
              <w:rPr>
                <w:rFonts w:hint="eastAsia" w:ascii="仿宋_GB2312" w:hAnsi="仿宋_GB2312" w:eastAsia="仿宋_GB2312" w:cs="仿宋_GB2312"/>
                <w:kern w:val="0"/>
                <w:sz w:val="24"/>
                <w:szCs w:val="24"/>
              </w:rPr>
              <w:t>）</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课程教师：张玲玉；</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h</w:t>
            </w:r>
            <w:r>
              <w:rPr>
                <w:rFonts w:ascii="仿宋_GB2312" w:hAnsi="仿宋_GB2312" w:eastAsia="仿宋_GB2312" w:cs="仿宋_GB2312"/>
                <w:kern w:val="0"/>
                <w:sz w:val="24"/>
                <w:szCs w:val="24"/>
              </w:rPr>
              <w:t>t</w:t>
            </w:r>
            <w:r>
              <w:rPr>
                <w:rFonts w:hint="eastAsia" w:ascii="仿宋_GB2312" w:hAnsi="仿宋_GB2312" w:eastAsia="仿宋_GB2312" w:cs="仿宋_GB2312"/>
                <w:kern w:val="0"/>
                <w:sz w:val="24"/>
                <w:szCs w:val="24"/>
              </w:rPr>
              <w:t>t</w:t>
            </w:r>
            <w:r>
              <w:rPr>
                <w:rFonts w:ascii="仿宋_GB2312" w:hAnsi="仿宋_GB2312" w:eastAsia="仿宋_GB2312" w:cs="仿宋_GB2312"/>
                <w:kern w:val="0"/>
                <w:sz w:val="24"/>
                <w:szCs w:val="24"/>
              </w:rPr>
              <w:t>ps://www.icourse163.org/</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hint="eastAsia" w:ascii="仿宋" w:hAnsi="仿宋" w:eastAsia="仿宋"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7"/>
            <w:vAlign w:val="center"/>
          </w:tcPr>
          <w:p>
            <w:pPr>
              <w:spacing w:line="340" w:lineRule="exact"/>
              <w:rPr>
                <w:rFonts w:ascii="仿宋_GB2312" w:hAnsi="仿宋_GB2312" w:eastAsia="仿宋_GB2312" w:cs="仿宋_GB2312"/>
                <w:kern w:val="0"/>
                <w:sz w:val="24"/>
                <w:szCs w:val="24"/>
              </w:rPr>
            </w:pPr>
            <w:r>
              <w:fldChar w:fldCharType="begin"/>
            </w:r>
            <w:r>
              <w:instrText xml:space="preserve"> HYPERLINK "https://www.icourse163.org/" </w:instrText>
            </w:r>
            <w:r>
              <w:fldChar w:fldCharType="separate"/>
            </w:r>
            <w:r>
              <w:rPr>
                <w:rStyle w:val="9"/>
                <w:rFonts w:hint="eastAsia" w:ascii="仿宋_GB2312" w:hAnsi="仿宋_GB2312" w:eastAsia="仿宋_GB2312" w:cs="仿宋_GB2312"/>
                <w:kern w:val="0"/>
                <w:sz w:val="24"/>
                <w:szCs w:val="24"/>
              </w:rPr>
              <w:t>h</w:t>
            </w:r>
            <w:r>
              <w:rPr>
                <w:rStyle w:val="9"/>
                <w:rFonts w:ascii="仿宋_GB2312" w:hAnsi="仿宋_GB2312" w:eastAsia="仿宋_GB2312" w:cs="仿宋_GB2312"/>
                <w:kern w:val="0"/>
                <w:sz w:val="24"/>
                <w:szCs w:val="24"/>
              </w:rPr>
              <w:t>t</w:t>
            </w:r>
            <w:r>
              <w:rPr>
                <w:rStyle w:val="9"/>
                <w:rFonts w:hint="eastAsia" w:ascii="仿宋_GB2312" w:hAnsi="仿宋_GB2312" w:eastAsia="仿宋_GB2312" w:cs="仿宋_GB2312"/>
                <w:kern w:val="0"/>
                <w:sz w:val="24"/>
                <w:szCs w:val="24"/>
              </w:rPr>
              <w:t>t</w:t>
            </w:r>
            <w:r>
              <w:rPr>
                <w:rStyle w:val="9"/>
                <w:rFonts w:ascii="仿宋_GB2312" w:hAnsi="仿宋_GB2312" w:eastAsia="仿宋_GB2312" w:cs="仿宋_GB2312"/>
                <w:kern w:val="0"/>
                <w:sz w:val="24"/>
                <w:szCs w:val="24"/>
              </w:rPr>
              <w:t>ps://www.icourse163.org/</w:t>
            </w:r>
            <w:r>
              <w:rPr>
                <w:rStyle w:val="9"/>
                <w:rFonts w:ascii="仿宋_GB2312" w:hAnsi="仿宋_GB2312" w:eastAsia="仿宋_GB2312" w:cs="仿宋_GB2312"/>
                <w:kern w:val="0"/>
                <w:sz w:val="24"/>
                <w:szCs w:val="24"/>
              </w:rPr>
              <w:fldChar w:fldCharType="end"/>
            </w:r>
            <w:r>
              <w:rPr>
                <w:rFonts w:hint="eastAsia" w:ascii="仿宋_GB2312" w:hAnsi="仿宋_GB2312" w:eastAsia="仿宋_GB2312" w:cs="仿宋_GB2312"/>
                <w:kern w:val="0"/>
                <w:sz w:val="24"/>
                <w:szCs w:val="24"/>
              </w:rPr>
              <w:t>，个人中心，课程管理。</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账号信息：13890053001，zly010923</w:t>
            </w:r>
          </w:p>
        </w:tc>
      </w:tr>
    </w:tbl>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93"/>
        <w:gridCol w:w="1172"/>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bookmarkStart w:id="1" w:name="_Hlk153221989"/>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9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172"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9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张玲玉</w:t>
            </w:r>
          </w:p>
        </w:tc>
        <w:tc>
          <w:tcPr>
            <w:tcW w:w="1172"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971.09</w:t>
            </w:r>
          </w:p>
        </w:tc>
        <w:tc>
          <w:tcPr>
            <w:tcW w:w="71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四川轻化工大学</w:t>
            </w:r>
          </w:p>
        </w:tc>
        <w:tc>
          <w:tcPr>
            <w:tcW w:w="734"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工业设计专业责任教授</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教授</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3890053001</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48855045@qq.com</w:t>
            </w:r>
          </w:p>
        </w:tc>
        <w:tc>
          <w:tcPr>
            <w:tcW w:w="1209" w:type="dxa"/>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主讲并负责该课程建设。课程建设规划、课程体系建设、课程内容和教学大纲的制定，教案撰写。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9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罗怀林</w:t>
            </w:r>
          </w:p>
        </w:tc>
        <w:tc>
          <w:tcPr>
            <w:tcW w:w="1172"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971.01</w:t>
            </w:r>
          </w:p>
        </w:tc>
        <w:tc>
          <w:tcPr>
            <w:tcW w:w="71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四川轻化工大学</w:t>
            </w:r>
          </w:p>
        </w:tc>
        <w:tc>
          <w:tcPr>
            <w:tcW w:w="734"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教师</w:t>
            </w:r>
          </w:p>
        </w:tc>
        <w:tc>
          <w:tcPr>
            <w:tcW w:w="73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副教授</w:t>
            </w:r>
          </w:p>
        </w:tc>
        <w:tc>
          <w:tcPr>
            <w:tcW w:w="1209"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3608150345</w:t>
            </w:r>
          </w:p>
        </w:tc>
        <w:tc>
          <w:tcPr>
            <w:tcW w:w="1212" w:type="dxa"/>
            <w:vAlign w:val="center"/>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200860444@qq.com</w:t>
            </w:r>
          </w:p>
        </w:tc>
        <w:tc>
          <w:tcPr>
            <w:tcW w:w="1209" w:type="dxa"/>
            <w:vAlign w:val="center"/>
          </w:tcPr>
          <w:p>
            <w:pPr>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负责课内设计作品训练指导，负责人机案例素材和视频库建设。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93" w:type="dxa"/>
            <w:vAlign w:val="center"/>
          </w:tcPr>
          <w:p>
            <w:pPr>
              <w:spacing w:line="340" w:lineRule="atLeast"/>
              <w:rPr>
                <w:rFonts w:ascii="仿宋_GB2312" w:hAnsi="仿宋_GB2312" w:eastAsia="仿宋_GB2312" w:cs="仿宋_GB2312"/>
                <w:kern w:val="0"/>
                <w:sz w:val="24"/>
                <w:szCs w:val="24"/>
              </w:rPr>
            </w:pPr>
            <w:r>
              <w:rPr>
                <w:rFonts w:hint="eastAsia" w:asciiTheme="minorEastAsia" w:hAnsiTheme="minorEastAsia"/>
                <w:kern w:val="0"/>
                <w:sz w:val="20"/>
                <w:szCs w:val="21"/>
              </w:rPr>
              <w:t>许雯娜</w:t>
            </w:r>
          </w:p>
        </w:tc>
        <w:tc>
          <w:tcPr>
            <w:tcW w:w="1172" w:type="dxa"/>
            <w:vAlign w:val="center"/>
          </w:tcPr>
          <w:p>
            <w:pPr>
              <w:spacing w:line="340" w:lineRule="atLeast"/>
              <w:rPr>
                <w:rFonts w:ascii="仿宋_GB2312" w:hAnsi="仿宋_GB2312" w:eastAsia="仿宋_GB2312" w:cs="仿宋_GB2312"/>
                <w:kern w:val="0"/>
                <w:sz w:val="24"/>
                <w:szCs w:val="24"/>
              </w:rPr>
            </w:pPr>
            <w:r>
              <w:rPr>
                <w:rFonts w:hint="eastAsia" w:asciiTheme="minorEastAsia" w:hAnsiTheme="minorEastAsia"/>
                <w:kern w:val="0"/>
                <w:sz w:val="20"/>
                <w:szCs w:val="21"/>
              </w:rPr>
              <w:t>1987.01</w:t>
            </w:r>
          </w:p>
        </w:tc>
        <w:tc>
          <w:tcPr>
            <w:tcW w:w="71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四川轻化工大学</w:t>
            </w:r>
          </w:p>
        </w:tc>
        <w:tc>
          <w:tcPr>
            <w:tcW w:w="734"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系主任</w:t>
            </w:r>
          </w:p>
        </w:tc>
        <w:tc>
          <w:tcPr>
            <w:tcW w:w="73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讲师</w:t>
            </w:r>
          </w:p>
        </w:tc>
        <w:tc>
          <w:tcPr>
            <w:tcW w:w="1209" w:type="dxa"/>
          </w:tcPr>
          <w:p>
            <w:pPr>
              <w:spacing w:line="340" w:lineRule="atLeast"/>
              <w:rPr>
                <w:rFonts w:ascii="仿宋_GB2312" w:hAnsi="仿宋_GB2312" w:eastAsia="仿宋_GB2312" w:cs="仿宋_GB2312"/>
                <w:kern w:val="0"/>
                <w:sz w:val="24"/>
                <w:szCs w:val="24"/>
              </w:rPr>
            </w:pPr>
            <w:r>
              <w:rPr>
                <w:rFonts w:hint="eastAsia" w:asciiTheme="minorEastAsia" w:hAnsiTheme="minorEastAsia"/>
                <w:kern w:val="0"/>
                <w:sz w:val="20"/>
                <w:szCs w:val="21"/>
              </w:rPr>
              <w:t>13990085067</w:t>
            </w:r>
          </w:p>
        </w:tc>
        <w:tc>
          <w:tcPr>
            <w:tcW w:w="1212" w:type="dxa"/>
          </w:tcPr>
          <w:p>
            <w:pPr>
              <w:spacing w:line="340" w:lineRule="atLeast"/>
              <w:rPr>
                <w:rFonts w:ascii="仿宋_GB2312" w:hAnsi="仿宋_GB2312" w:eastAsia="仿宋_GB2312" w:cs="仿宋_GB2312"/>
                <w:kern w:val="0"/>
                <w:sz w:val="24"/>
                <w:szCs w:val="24"/>
              </w:rPr>
            </w:pPr>
            <w:r>
              <w:rPr>
                <w:rFonts w:hint="eastAsia" w:asciiTheme="minorEastAsia" w:hAnsiTheme="minorEastAsia"/>
                <w:kern w:val="0"/>
                <w:sz w:val="20"/>
                <w:szCs w:val="21"/>
              </w:rPr>
              <w:t>xuwn2005@gmail.com</w:t>
            </w:r>
          </w:p>
        </w:tc>
        <w:tc>
          <w:tcPr>
            <w:tcW w:w="1209" w:type="dxa"/>
            <w:vAlign w:val="center"/>
          </w:tcPr>
          <w:p>
            <w:pPr>
              <w:spacing w:line="340" w:lineRule="atLeast"/>
              <w:rPr>
                <w:rFonts w:asciiTheme="minorEastAsia" w:hAnsiTheme="minorEastAsia"/>
                <w:kern w:val="0"/>
                <w:sz w:val="20"/>
                <w:szCs w:val="21"/>
              </w:rPr>
            </w:pPr>
            <w:r>
              <w:rPr>
                <w:rFonts w:hint="eastAsia" w:ascii="仿宋_GB2312" w:hAnsi="仿宋_GB2312" w:eastAsia="仿宋_GB2312" w:cs="仿宋_GB2312"/>
                <w:kern w:val="0"/>
                <w:sz w:val="24"/>
                <w:szCs w:val="24"/>
              </w:rPr>
              <w:t>主讲该课程，教学内容设计和撰写教学实施大纲。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9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郭伟东</w:t>
            </w:r>
          </w:p>
        </w:tc>
        <w:tc>
          <w:tcPr>
            <w:tcW w:w="1172" w:type="dxa"/>
            <w:vAlign w:val="center"/>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1983.07</w:t>
            </w:r>
          </w:p>
        </w:tc>
        <w:tc>
          <w:tcPr>
            <w:tcW w:w="71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四川省宜宾普拉斯包装材料有限公司</w:t>
            </w:r>
          </w:p>
        </w:tc>
        <w:tc>
          <w:tcPr>
            <w:tcW w:w="734"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主任工程师</w:t>
            </w:r>
          </w:p>
        </w:tc>
        <w:tc>
          <w:tcPr>
            <w:tcW w:w="73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工业设计高级工程师</w:t>
            </w:r>
          </w:p>
        </w:tc>
        <w:tc>
          <w:tcPr>
            <w:tcW w:w="1209" w:type="dxa"/>
            <w:vAlign w:val="center"/>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13378271516</w:t>
            </w:r>
          </w:p>
        </w:tc>
        <w:tc>
          <w:tcPr>
            <w:tcW w:w="1212" w:type="dxa"/>
            <w:vAlign w:val="center"/>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158433351@qq.com</w:t>
            </w:r>
          </w:p>
        </w:tc>
        <w:tc>
          <w:tcPr>
            <w:tcW w:w="1209" w:type="dxa"/>
            <w:vAlign w:val="center"/>
          </w:tcPr>
          <w:p>
            <w:pPr>
              <w:spacing w:line="340" w:lineRule="atLeast"/>
              <w:rPr>
                <w:rFonts w:ascii="仿宋_GB2312" w:hAnsi="仿宋_GB2312" w:eastAsia="仿宋_GB2312" w:cs="仿宋_GB2312"/>
                <w:kern w:val="0"/>
                <w:sz w:val="24"/>
                <w:szCs w:val="24"/>
              </w:rPr>
            </w:pPr>
            <w:r>
              <w:t>生产企业需求项目实践教学和指导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9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刘祥杰</w:t>
            </w:r>
          </w:p>
        </w:tc>
        <w:tc>
          <w:tcPr>
            <w:tcW w:w="1172"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1990.01</w:t>
            </w:r>
          </w:p>
        </w:tc>
        <w:tc>
          <w:tcPr>
            <w:tcW w:w="713" w:type="dxa"/>
            <w:vAlign w:val="center"/>
          </w:tcPr>
          <w:p>
            <w:pPr>
              <w:jc w:val="left"/>
              <w:rPr>
                <w:rFonts w:asciiTheme="minorEastAsia" w:hAnsiTheme="minorEastAsia"/>
                <w:kern w:val="0"/>
                <w:sz w:val="20"/>
                <w:szCs w:val="21"/>
              </w:rPr>
            </w:pPr>
            <w:r>
              <w:rPr>
                <w:rFonts w:hint="eastAsia" w:asciiTheme="minorEastAsia" w:hAnsiTheme="minorEastAsia"/>
                <w:kern w:val="0"/>
                <w:sz w:val="20"/>
                <w:szCs w:val="21"/>
              </w:rPr>
              <w:t>成都浪尖工业设计有限公司</w:t>
            </w:r>
          </w:p>
        </w:tc>
        <w:tc>
          <w:tcPr>
            <w:tcW w:w="734"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ID设计总监</w:t>
            </w:r>
          </w:p>
        </w:tc>
        <w:tc>
          <w:tcPr>
            <w:tcW w:w="733"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工业设计中级工程师</w:t>
            </w:r>
          </w:p>
        </w:tc>
        <w:tc>
          <w:tcPr>
            <w:tcW w:w="1209"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13658029628</w:t>
            </w:r>
          </w:p>
        </w:tc>
        <w:tc>
          <w:tcPr>
            <w:tcW w:w="1212"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914695718@qq.com</w:t>
            </w:r>
          </w:p>
        </w:tc>
        <w:tc>
          <w:tcPr>
            <w:tcW w:w="1209" w:type="dxa"/>
            <w:vAlign w:val="center"/>
          </w:tcPr>
          <w:p>
            <w:pPr>
              <w:spacing w:line="340" w:lineRule="atLeast"/>
              <w:jc w:val="left"/>
              <w:rPr>
                <w:rFonts w:ascii="仿宋_GB2312" w:hAnsi="仿宋_GB2312" w:eastAsia="仿宋_GB2312" w:cs="仿宋_GB2312"/>
                <w:kern w:val="0"/>
                <w:sz w:val="24"/>
                <w:szCs w:val="24"/>
              </w:rPr>
            </w:pPr>
            <w:r>
              <w:rPr>
                <w:kern w:val="0"/>
                <w:sz w:val="20"/>
                <w:szCs w:val="20"/>
              </w:rPr>
              <w:t>设计企业项</w:t>
            </w:r>
            <w:r>
              <w:rPr>
                <w:rFonts w:hint="eastAsia"/>
                <w:kern w:val="0"/>
                <w:sz w:val="20"/>
                <w:szCs w:val="20"/>
              </w:rPr>
              <w:t xml:space="preserve"> </w:t>
            </w:r>
            <w:r>
              <w:rPr>
                <w:kern w:val="0"/>
                <w:sz w:val="20"/>
                <w:szCs w:val="20"/>
              </w:rPr>
              <w:t>目实训教学和指导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60" w:lineRule="auto"/>
              <w:ind w:firstLine="360" w:firstLineChars="150"/>
              <w:rPr>
                <w:rFonts w:asciiTheme="minorEastAsia" w:hAnsiTheme="minorEastAsia"/>
                <w:bCs/>
                <w:color w:val="000000" w:themeColor="text1"/>
                <w:sz w:val="24"/>
                <w:szCs w:val="24"/>
                <w14:textFill>
                  <w14:solidFill>
                    <w14:schemeClr w14:val="tx1"/>
                  </w14:solidFill>
                </w14:textFill>
              </w:rPr>
            </w:pPr>
            <w:r>
              <w:rPr>
                <w:rFonts w:hint="eastAsia" w:cs="仿宋_GB2312" w:asciiTheme="minorEastAsia" w:hAnsiTheme="minorEastAsia"/>
                <w:bCs/>
                <w:kern w:val="0"/>
                <w:sz w:val="24"/>
                <w:szCs w:val="24"/>
              </w:rPr>
              <w:t>张玲玉，</w:t>
            </w:r>
            <w:r>
              <w:rPr>
                <w:rFonts w:asciiTheme="minorEastAsia" w:hAnsiTheme="minorEastAsia"/>
                <w:bCs/>
                <w:color w:val="000000" w:themeColor="text1"/>
                <w:sz w:val="24"/>
                <w:szCs w:val="24"/>
                <w14:textFill>
                  <w14:solidFill>
                    <w14:schemeClr w14:val="tx1"/>
                  </w14:solidFill>
                </w14:textFill>
              </w:rPr>
              <w:t>中国工业设计协会设计教育分会理事、</w:t>
            </w:r>
            <w:r>
              <w:rPr>
                <w:rFonts w:hint="eastAsia" w:asciiTheme="minorEastAsia" w:hAnsiTheme="minorEastAsia"/>
                <w:bCs/>
                <w:color w:val="000000" w:themeColor="text1"/>
                <w:sz w:val="24"/>
                <w:szCs w:val="24"/>
                <w14:textFill>
                  <w14:solidFill>
                    <w14:schemeClr w14:val="tx1"/>
                  </w14:solidFill>
                </w14:textFill>
              </w:rPr>
              <w:t>四川省设计学教指委委员、人类功效学学会会员</w:t>
            </w:r>
            <w:r>
              <w:rPr>
                <w:rFonts w:asciiTheme="minorEastAsia" w:hAnsiTheme="minorEastAsia"/>
                <w:bCs/>
                <w:color w:val="000000" w:themeColor="text1"/>
                <w:sz w:val="24"/>
                <w:szCs w:val="24"/>
                <w14:textFill>
                  <w14:solidFill>
                    <w14:schemeClr w14:val="tx1"/>
                  </w14:solidFill>
                </w14:textFill>
              </w:rPr>
              <w:t>。</w:t>
            </w:r>
            <w:r>
              <w:rPr>
                <w:rFonts w:hint="eastAsia" w:asciiTheme="minorEastAsia" w:hAnsiTheme="minorEastAsia"/>
                <w:bCs/>
                <w:color w:val="000000" w:themeColor="text1"/>
                <w:sz w:val="24"/>
                <w:szCs w:val="24"/>
                <w14:textFill>
                  <w14:solidFill>
                    <w14:schemeClr w14:val="tx1"/>
                  </w14:solidFill>
                </w14:textFill>
              </w:rPr>
              <w:t>主讲《人机工程学》、《智能装备设计》等课程。主持和参与教改项目30余项，发表教改论文20余篇，获教学成果奖1</w:t>
            </w:r>
            <w:r>
              <w:rPr>
                <w:rFonts w:asciiTheme="minorEastAsia" w:hAnsiTheme="minorEastAsia"/>
                <w:bCs/>
                <w:color w:val="000000" w:themeColor="text1"/>
                <w:sz w:val="24"/>
                <w:szCs w:val="24"/>
                <w14:textFill>
                  <w14:solidFill>
                    <w14:schemeClr w14:val="tx1"/>
                  </w14:solidFill>
                </w14:textFill>
              </w:rPr>
              <w:t>0</w:t>
            </w:r>
            <w:r>
              <w:rPr>
                <w:rFonts w:hint="eastAsia" w:asciiTheme="minorEastAsia" w:hAnsiTheme="minorEastAsia"/>
                <w:bCs/>
                <w:color w:val="000000" w:themeColor="text1"/>
                <w:sz w:val="24"/>
                <w:szCs w:val="24"/>
                <w14:textFill>
                  <w14:solidFill>
                    <w14:schemeClr w14:val="tx1"/>
                  </w14:solidFill>
                </w14:textFill>
              </w:rPr>
              <w:t>余项，获宜宾市优秀教师等荣誉称号17次。</w:t>
            </w:r>
            <w:r>
              <w:rPr>
                <w:rFonts w:asciiTheme="minorEastAsia" w:hAnsiTheme="minorEastAsia"/>
                <w:bCs/>
                <w:color w:val="000000" w:themeColor="text1"/>
                <w:sz w:val="24"/>
                <w:szCs w:val="24"/>
                <w14:textFill>
                  <w14:solidFill>
                    <w14:schemeClr w14:val="tx1"/>
                  </w14:solidFill>
                </w14:textFill>
              </w:rPr>
              <w:t>近3年指导学生学科竞赛获国家和省级奖项250余项，获</w:t>
            </w:r>
            <w:r>
              <w:rPr>
                <w:rFonts w:hint="eastAsia" w:asciiTheme="minorEastAsia" w:hAnsiTheme="minorEastAsia"/>
                <w:bCs/>
                <w:color w:val="000000" w:themeColor="text1"/>
                <w:sz w:val="24"/>
                <w:szCs w:val="24"/>
                <w14:textFill>
                  <w14:solidFill>
                    <w14:schemeClr w14:val="tx1"/>
                  </w14:solidFill>
                </w14:textFill>
              </w:rPr>
              <w:t>国家级和省级学科</w:t>
            </w:r>
            <w:r>
              <w:rPr>
                <w:rFonts w:asciiTheme="minorEastAsia" w:hAnsiTheme="minorEastAsia"/>
                <w:bCs/>
                <w:color w:val="000000" w:themeColor="text1"/>
                <w:sz w:val="24"/>
                <w:szCs w:val="24"/>
                <w14:textFill>
                  <w14:solidFill>
                    <w14:schemeClr w14:val="tx1"/>
                  </w14:solidFill>
                </w14:textFill>
              </w:rPr>
              <w:t>竞赛优秀指导教师13次。</w:t>
            </w:r>
          </w:p>
          <w:p>
            <w:pPr>
              <w:spacing w:line="360" w:lineRule="auto"/>
              <w:ind w:firstLine="360" w:firstLineChars="150"/>
              <w:rPr>
                <w:rFonts w:asciiTheme="minorEastAsia" w:hAnsiTheme="minorEastAsia"/>
                <w:bCs/>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许雯娜，中国人类功效学学会会员，主讲《人机工程学》、《交互设计》、《用户研究》等课程。</w:t>
            </w:r>
            <w:r>
              <w:rPr>
                <w:rFonts w:asciiTheme="minorEastAsia" w:hAnsiTheme="minorEastAsia"/>
                <w:bCs/>
                <w:color w:val="000000" w:themeColor="text1"/>
                <w:sz w:val="24"/>
                <w:szCs w:val="24"/>
                <w14:textFill>
                  <w14:solidFill>
                    <w14:schemeClr w14:val="tx1"/>
                  </w14:solidFill>
                </w14:textFill>
              </w:rPr>
              <w:t>主持校级一流课程《用户研究方法》建设，承担参与省级和校级教改5项。</w:t>
            </w:r>
            <w:r>
              <w:rPr>
                <w:rFonts w:hint="eastAsia" w:asciiTheme="minorEastAsia" w:hAnsiTheme="minorEastAsia"/>
                <w:bCs/>
                <w:color w:val="000000" w:themeColor="text1"/>
                <w:sz w:val="24"/>
                <w:szCs w:val="24"/>
                <w14:textFill>
                  <w14:solidFill>
                    <w14:schemeClr w14:val="tx1"/>
                  </w14:solidFill>
                </w14:textFill>
              </w:rPr>
              <w:t>2</w:t>
            </w:r>
            <w:r>
              <w:rPr>
                <w:rFonts w:asciiTheme="minorEastAsia" w:hAnsiTheme="minorEastAsia"/>
                <w:bCs/>
                <w:color w:val="000000" w:themeColor="text1"/>
                <w:sz w:val="24"/>
                <w:szCs w:val="24"/>
                <w14:textFill>
                  <w14:solidFill>
                    <w14:schemeClr w14:val="tx1"/>
                  </w14:solidFill>
                </w14:textFill>
              </w:rPr>
              <w:t>022</w:t>
            </w:r>
            <w:r>
              <w:rPr>
                <w:rFonts w:hint="eastAsia" w:asciiTheme="minorEastAsia" w:hAnsiTheme="minorEastAsia"/>
                <w:bCs/>
                <w:color w:val="000000" w:themeColor="text1"/>
                <w:sz w:val="24"/>
                <w:szCs w:val="24"/>
                <w14:textFill>
                  <w14:solidFill>
                    <w14:schemeClr w14:val="tx1"/>
                  </w14:solidFill>
                </w14:textFill>
              </w:rPr>
              <w:t>年</w:t>
            </w:r>
            <w:r>
              <w:rPr>
                <w:rFonts w:asciiTheme="minorEastAsia" w:hAnsiTheme="minorEastAsia"/>
                <w:bCs/>
                <w:color w:val="000000" w:themeColor="text1"/>
                <w:sz w:val="24"/>
                <w:szCs w:val="24"/>
                <w14:textFill>
                  <w14:solidFill>
                    <w14:schemeClr w14:val="tx1"/>
                  </w14:solidFill>
                </w14:textFill>
              </w:rPr>
              <w:t>获得全国艺术设计教师教学创新大赛全国总决赛二等奖和四川省高校青年教师教学竞赛（决赛）工科组优秀奖。近5年指导学生学科竞赛获国家和省级奖项160余项，获</w:t>
            </w:r>
            <w:r>
              <w:rPr>
                <w:rFonts w:hint="eastAsia" w:asciiTheme="minorEastAsia" w:hAnsiTheme="minorEastAsia"/>
                <w:bCs/>
                <w:color w:val="000000" w:themeColor="text1"/>
                <w:sz w:val="24"/>
                <w:szCs w:val="24"/>
                <w14:textFill>
                  <w14:solidFill>
                    <w14:schemeClr w14:val="tx1"/>
                  </w14:solidFill>
                </w14:textFill>
              </w:rPr>
              <w:t>省级及国家级学科</w:t>
            </w:r>
            <w:r>
              <w:rPr>
                <w:rFonts w:asciiTheme="minorEastAsia" w:hAnsiTheme="minorEastAsia"/>
                <w:bCs/>
                <w:color w:val="000000" w:themeColor="text1"/>
                <w:sz w:val="24"/>
                <w:szCs w:val="24"/>
                <w14:textFill>
                  <w14:solidFill>
                    <w14:schemeClr w14:val="tx1"/>
                  </w14:solidFill>
                </w14:textFill>
              </w:rPr>
              <w:t>竞赛优秀指导教师14次。</w:t>
            </w:r>
          </w:p>
          <w:p>
            <w:pPr>
              <w:spacing w:line="360" w:lineRule="auto"/>
              <w:ind w:firstLine="360" w:firstLineChars="150"/>
              <w:rPr>
                <w:rFonts w:asciiTheme="minorEastAsia" w:hAnsiTheme="minorEastAsia"/>
                <w:bCs/>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罗怀林，硕士研究生导师，主讲《人机工程学》、《模具设计》等课程,主持和参与校企合作项目20多项，为多家大型企业产品设计提供技术服务。发表科研论文近30余篇，授权专利20多项，近3年指导学生参与学科竞赛获奖80多项。</w:t>
            </w:r>
          </w:p>
          <w:p>
            <w:pPr>
              <w:spacing w:line="360" w:lineRule="auto"/>
              <w:ind w:firstLine="360" w:firstLineChars="150"/>
              <w:rPr>
                <w:rFonts w:asciiTheme="minorEastAsia" w:hAnsiTheme="minorEastAsia"/>
                <w:bCs/>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郭伟东，四川轻化工大学特聘教师和硕士研究生导师，工业设计高级工程师，主持参与公司10余项重大项目的研发工作，获得宜宾市科技进步一等奖；设计开发第八代五粮液包装、青花郎包装、习酒包装、水井坊包装、舍得酒包装、西凤酒包装等产品。发表专业学术论文5篇，授权专利40余项。参与设计实践教学</w:t>
            </w:r>
            <w:r>
              <w:rPr>
                <w:rFonts w:asciiTheme="minorEastAsia" w:hAnsiTheme="minorEastAsia"/>
                <w:bCs/>
                <w:color w:val="000000" w:themeColor="text1"/>
                <w:sz w:val="24"/>
                <w:szCs w:val="24"/>
                <w14:textFill>
                  <w14:solidFill>
                    <w14:schemeClr w14:val="tx1"/>
                  </w14:solidFill>
                </w14:textFill>
              </w:rPr>
              <w:t>。</w:t>
            </w:r>
          </w:p>
          <w:p>
            <w:pPr>
              <w:spacing w:line="360" w:lineRule="auto"/>
              <w:ind w:firstLine="360" w:firstLineChars="150"/>
              <w:rPr>
                <w:rFonts w:asciiTheme="minorEastAsia" w:hAnsiTheme="minorEastAsia"/>
                <w:bCs/>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刘祥杰，成都浪尖工业设计有限公司ID总监，工业设计中级工程师，主持参与北京大兴机场自助行李托运系统等公司重大项目20余项，设计服务客户累计超过200家。参与《人机工程学》设计实践教学。</w:t>
            </w:r>
          </w:p>
        </w:tc>
      </w:tr>
      <w:bookmarkEnd w:id="1"/>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60" w:lineRule="auto"/>
              <w:ind w:firstLine="480" w:firstLineChars="200"/>
              <w:rPr>
                <w:rFonts w:cs="仿宋_GB2312" w:asciiTheme="minorEastAsia" w:hAnsiTheme="minorEastAsia"/>
                <w:kern w:val="0"/>
                <w:sz w:val="24"/>
                <w:szCs w:val="24"/>
              </w:rPr>
            </w:pPr>
            <w:r>
              <w:rPr>
                <w:rFonts w:cs="仿宋_GB2312" w:asciiTheme="minorEastAsia" w:hAnsiTheme="minorEastAsia"/>
                <w:kern w:val="0"/>
                <w:sz w:val="24"/>
                <w:szCs w:val="24"/>
              </w:rPr>
              <w:t>根据学校人才培养定位，该专业培养德智体美劳全面发展，具备工业设计基础知识和创新设计能力，能够适应社会发展的高素质应用型人才，课程目标如下：</w:t>
            </w:r>
          </w:p>
          <w:p>
            <w:pPr>
              <w:spacing w:line="360" w:lineRule="auto"/>
              <w:ind w:firstLine="482" w:firstLineChars="200"/>
              <w:rPr>
                <w:rFonts w:cs="仿宋_GB2312" w:asciiTheme="minorEastAsia" w:hAnsiTheme="minorEastAsia"/>
                <w:kern w:val="0"/>
                <w:sz w:val="24"/>
                <w:szCs w:val="24"/>
              </w:rPr>
            </w:pPr>
            <w:bookmarkStart w:id="2" w:name="_Hlk142854807"/>
            <w:r>
              <w:rPr>
                <w:rFonts w:hint="eastAsia" w:cs="仿宋_GB2312" w:asciiTheme="minorEastAsia" w:hAnsiTheme="minorEastAsia"/>
                <w:b/>
                <w:bCs/>
                <w:kern w:val="0"/>
                <w:sz w:val="24"/>
                <w:szCs w:val="24"/>
              </w:rPr>
              <w:t>知识目标：</w:t>
            </w:r>
            <w:r>
              <w:rPr>
                <w:rFonts w:cs="仿宋_GB2312" w:asciiTheme="minorEastAsia" w:hAnsiTheme="minorEastAsia"/>
                <w:kern w:val="0"/>
                <w:sz w:val="24"/>
                <w:szCs w:val="24"/>
              </w:rPr>
              <w:t>认识</w:t>
            </w:r>
            <w:r>
              <w:rPr>
                <w:rFonts w:hint="eastAsia" w:cs="仿宋_GB2312" w:asciiTheme="minorEastAsia" w:hAnsiTheme="minorEastAsia"/>
                <w:kern w:val="0"/>
                <w:sz w:val="24"/>
                <w:szCs w:val="24"/>
              </w:rPr>
              <w:t>人机工程学</w:t>
            </w:r>
            <w:r>
              <w:rPr>
                <w:rFonts w:cs="仿宋_GB2312" w:asciiTheme="minorEastAsia" w:hAnsiTheme="minorEastAsia"/>
                <w:kern w:val="0"/>
                <w:sz w:val="24"/>
                <w:szCs w:val="24"/>
              </w:rPr>
              <w:t>对设计的重要性</w:t>
            </w:r>
            <w:r>
              <w:rPr>
                <w:rFonts w:hint="eastAsia" w:cs="仿宋_GB2312" w:asciiTheme="minorEastAsia" w:hAnsiTheme="minorEastAsia"/>
                <w:kern w:val="0"/>
                <w:sz w:val="24"/>
                <w:szCs w:val="24"/>
              </w:rPr>
              <w:t>，</w:t>
            </w:r>
            <w:r>
              <w:rPr>
                <w:rFonts w:cs="仿宋_GB2312" w:asciiTheme="minorEastAsia" w:hAnsiTheme="minorEastAsia"/>
                <w:kern w:val="0"/>
                <w:sz w:val="24"/>
                <w:szCs w:val="24"/>
              </w:rPr>
              <w:t>理解人体特性：包括人体测量学及人体数据应用原则、人体感知与运动特性、人的心理与行为特征等理论知识</w:t>
            </w:r>
            <w:r>
              <w:rPr>
                <w:rFonts w:hint="eastAsia" w:cs="仿宋_GB2312" w:asciiTheme="minorEastAsia" w:hAnsiTheme="minorEastAsia"/>
                <w:kern w:val="0"/>
                <w:sz w:val="24"/>
                <w:szCs w:val="24"/>
              </w:rPr>
              <w:t>。</w:t>
            </w:r>
            <w:r>
              <w:rPr>
                <w:rFonts w:cs="仿宋_GB2312" w:asciiTheme="minorEastAsia" w:hAnsiTheme="minorEastAsia"/>
                <w:kern w:val="0"/>
                <w:sz w:val="24"/>
                <w:szCs w:val="24"/>
              </w:rPr>
              <w:t>理解人性化设计和人机工程学设计的关系，掌握人机系统设计方法；</w:t>
            </w:r>
            <w:r>
              <w:rPr>
                <w:rFonts w:hint="eastAsia" w:cs="仿宋_GB2312" w:asciiTheme="minorEastAsia" w:hAnsiTheme="minorEastAsia"/>
                <w:kern w:val="0"/>
                <w:sz w:val="24"/>
                <w:szCs w:val="24"/>
              </w:rPr>
              <w:t>理解用户体验和共用性设计等设计理念。</w:t>
            </w:r>
          </w:p>
          <w:p>
            <w:pPr>
              <w:spacing w:line="360" w:lineRule="auto"/>
              <w:ind w:firstLine="482" w:firstLineChars="200"/>
              <w:rPr>
                <w:rFonts w:cs="仿宋_GB2312" w:asciiTheme="minorEastAsia" w:hAnsiTheme="minorEastAsia"/>
                <w:kern w:val="0"/>
                <w:sz w:val="24"/>
                <w:szCs w:val="24"/>
              </w:rPr>
            </w:pPr>
            <w:r>
              <w:rPr>
                <w:rFonts w:hint="eastAsia" w:cs="Segoe UI" w:asciiTheme="minorEastAsia" w:hAnsiTheme="minorEastAsia"/>
                <w:b/>
                <w:bCs/>
                <w:color w:val="000000" w:themeColor="text1"/>
                <w:sz w:val="24"/>
                <w:szCs w:val="24"/>
                <w14:textFill>
                  <w14:solidFill>
                    <w14:schemeClr w14:val="tx1"/>
                  </w14:solidFill>
                </w14:textFill>
              </w:rPr>
              <w:t>能力目标：</w:t>
            </w:r>
            <w:r>
              <w:rPr>
                <w:rFonts w:hint="eastAsia" w:cs="仿宋_GB2312" w:asciiTheme="minorEastAsia" w:hAnsiTheme="minorEastAsia"/>
                <w:kern w:val="0"/>
                <w:sz w:val="24"/>
                <w:szCs w:val="24"/>
              </w:rPr>
              <w:t>能够应用人的感知响应系统的特性及人体测量数据，对产品的人机信息交流方式和界面进行创新设计；能够利用人体测量数据、生物力学、人体解剖结构等生理和心理特征对工作环境、工作台椅、家居产品、工具、包装及智能装备等产品进行创新设计设计。能遵循人性化、包容性、可持续原则的进行人机环境复杂系统的优化和创新设计。</w:t>
            </w:r>
          </w:p>
          <w:p>
            <w:pPr>
              <w:spacing w:line="360" w:lineRule="auto"/>
              <w:rPr>
                <w:rFonts w:cs="Segoe UI" w:asciiTheme="minorEastAsia" w:hAnsiTheme="minorEastAsia"/>
                <w:color w:val="000000" w:themeColor="text1"/>
                <w:sz w:val="24"/>
                <w:szCs w:val="24"/>
                <w14:textFill>
                  <w14:solidFill>
                    <w14:schemeClr w14:val="tx1"/>
                  </w14:solidFill>
                </w14:textFill>
              </w:rPr>
            </w:pPr>
            <w:r>
              <w:rPr>
                <w:rFonts w:hint="eastAsia" w:cs="仿宋_GB2312" w:asciiTheme="minorEastAsia" w:hAnsiTheme="minorEastAsia"/>
                <w:kern w:val="0"/>
                <w:sz w:val="24"/>
                <w:szCs w:val="24"/>
              </w:rPr>
              <w:t>　</w:t>
            </w:r>
            <w:r>
              <w:rPr>
                <w:rFonts w:cs="Segoe UI" w:asciiTheme="minorEastAsia" w:hAnsiTheme="minorEastAsia"/>
                <w:b/>
                <w:bCs/>
                <w:color w:val="000000" w:themeColor="text1"/>
                <w:sz w:val="24"/>
                <w:szCs w:val="24"/>
                <w14:textFill>
                  <w14:solidFill>
                    <w14:schemeClr w14:val="tx1"/>
                  </w14:solidFill>
                </w14:textFill>
              </w:rPr>
              <w:t>思政</w:t>
            </w:r>
            <w:r>
              <w:rPr>
                <w:rFonts w:hint="eastAsia" w:cs="Segoe UI" w:asciiTheme="minorEastAsia" w:hAnsiTheme="minorEastAsia"/>
                <w:b/>
                <w:bCs/>
                <w:color w:val="000000" w:themeColor="text1"/>
                <w:sz w:val="24"/>
                <w:szCs w:val="24"/>
                <w14:textFill>
                  <w14:solidFill>
                    <w14:schemeClr w14:val="tx1"/>
                  </w14:solidFill>
                </w14:textFill>
              </w:rPr>
              <w:t>和素质目标</w:t>
            </w:r>
            <w:r>
              <w:rPr>
                <w:rFonts w:hint="eastAsia" w:cs="Segoe UI" w:asciiTheme="minorEastAsia" w:hAnsiTheme="minorEastAsia"/>
                <w:color w:val="000000" w:themeColor="text1"/>
                <w:sz w:val="24"/>
                <w:szCs w:val="24"/>
                <w14:textFill>
                  <w14:solidFill>
                    <w14:schemeClr w14:val="tx1"/>
                  </w14:solidFill>
                </w14:textFill>
              </w:rPr>
              <w:t>：</w:t>
            </w:r>
            <w:r>
              <w:rPr>
                <w:rFonts w:hint="eastAsia" w:cs="仿宋_GB2312" w:asciiTheme="minorEastAsia" w:hAnsiTheme="minorEastAsia"/>
                <w:kern w:val="0"/>
                <w:sz w:val="24"/>
                <w:szCs w:val="24"/>
              </w:rPr>
              <w:t>养成“</w:t>
            </w:r>
            <w:r>
              <w:rPr>
                <w:rFonts w:cs="仿宋_GB2312" w:asciiTheme="minorEastAsia" w:hAnsiTheme="minorEastAsia"/>
                <w:kern w:val="0"/>
                <w:sz w:val="24"/>
                <w:szCs w:val="24"/>
              </w:rPr>
              <w:t>创新</w:t>
            </w:r>
            <w:r>
              <w:rPr>
                <w:rFonts w:hint="eastAsia" w:cs="仿宋_GB2312" w:asciiTheme="minorEastAsia" w:hAnsiTheme="minorEastAsia"/>
                <w:kern w:val="0"/>
                <w:sz w:val="24"/>
                <w:szCs w:val="24"/>
              </w:rPr>
              <w:t>创造、以人为本、人-机-环境协调</w:t>
            </w:r>
            <w:r>
              <w:rPr>
                <w:rFonts w:cs="仿宋_GB2312" w:asciiTheme="minorEastAsia" w:hAnsiTheme="minorEastAsia"/>
                <w:kern w:val="0"/>
                <w:sz w:val="24"/>
                <w:szCs w:val="24"/>
              </w:rPr>
              <w:t>可持续发展</w:t>
            </w:r>
            <w:r>
              <w:rPr>
                <w:rFonts w:hint="eastAsia" w:cs="仿宋_GB2312" w:asciiTheme="minorEastAsia" w:hAnsiTheme="minorEastAsia"/>
                <w:kern w:val="0"/>
                <w:sz w:val="24"/>
                <w:szCs w:val="24"/>
              </w:rPr>
              <w:t>”的意识 。树立设计师职业道德与社会责任感，形成“造福社会、创新、爱国爱民”的思想观和设计观。</w:t>
            </w:r>
            <w:bookmarkEnd w:id="2"/>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before="240"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（一）建设发展历程</w:t>
            </w:r>
          </w:p>
          <w:p>
            <w:pPr>
              <w:spacing w:line="360" w:lineRule="auto"/>
              <w:ind w:firstLine="480" w:firstLineChars="200"/>
              <w:rPr>
                <w:rFonts w:cs="仿宋_GB2312" w:asciiTheme="minorEastAsia" w:hAnsiTheme="minorEastAsia"/>
                <w:kern w:val="0"/>
                <w:sz w:val="24"/>
                <w:szCs w:val="24"/>
              </w:rPr>
            </w:pPr>
            <w:r>
              <w:rPr>
                <w:rFonts w:cs="仿宋_GB2312" w:asciiTheme="minorEastAsia" w:hAnsiTheme="minorEastAsia"/>
                <w:kern w:val="0"/>
                <w:sz w:val="24"/>
                <w:szCs w:val="24"/>
              </w:rPr>
              <w:t>我校工业设计专业建立于2000年，经过 23 年的发展，</w:t>
            </w:r>
            <w:r>
              <w:rPr>
                <w:rFonts w:hint="eastAsia" w:cs="仿宋_GB2312" w:asciiTheme="minorEastAsia" w:hAnsiTheme="minorEastAsia"/>
                <w:kern w:val="0"/>
                <w:sz w:val="24"/>
                <w:szCs w:val="24"/>
              </w:rPr>
              <w:t>结合区域产业发展需求，建成</w:t>
            </w:r>
            <w:r>
              <w:rPr>
                <w:rFonts w:cs="仿宋_GB2312" w:asciiTheme="minorEastAsia" w:hAnsiTheme="minorEastAsia"/>
                <w:kern w:val="0"/>
                <w:sz w:val="24"/>
                <w:szCs w:val="24"/>
              </w:rPr>
              <w:t>以智能装备、包装和</w:t>
            </w:r>
            <w:r>
              <w:rPr>
                <w:rFonts w:hint="eastAsia" w:cs="仿宋_GB2312" w:asciiTheme="minorEastAsia" w:hAnsiTheme="minorEastAsia"/>
                <w:kern w:val="0"/>
                <w:sz w:val="24"/>
                <w:szCs w:val="24"/>
              </w:rPr>
              <w:t>智能</w:t>
            </w:r>
            <w:r>
              <w:rPr>
                <w:rFonts w:cs="仿宋_GB2312" w:asciiTheme="minorEastAsia" w:hAnsiTheme="minorEastAsia"/>
                <w:kern w:val="0"/>
                <w:sz w:val="24"/>
                <w:szCs w:val="24"/>
              </w:rPr>
              <w:t>彩灯设计为特色的</w:t>
            </w:r>
            <w:r>
              <w:rPr>
                <w:rFonts w:hint="eastAsia" w:cs="仿宋_GB2312" w:asciiTheme="minorEastAsia" w:hAnsiTheme="minorEastAsia"/>
                <w:kern w:val="0"/>
                <w:sz w:val="24"/>
                <w:szCs w:val="24"/>
              </w:rPr>
              <w:t>省级一流专业</w:t>
            </w:r>
            <w:r>
              <w:rPr>
                <w:rFonts w:cs="仿宋_GB2312" w:asciiTheme="minorEastAsia" w:hAnsiTheme="minorEastAsia"/>
                <w:kern w:val="0"/>
                <w:sz w:val="24"/>
                <w:szCs w:val="24"/>
              </w:rPr>
              <w:t>。</w:t>
            </w:r>
            <w:r>
              <w:rPr>
                <w:rFonts w:hint="eastAsia" w:cs="仿宋_GB2312" w:asciiTheme="minorEastAsia" w:hAnsiTheme="minorEastAsia"/>
                <w:kern w:val="0"/>
                <w:sz w:val="24"/>
                <w:szCs w:val="24"/>
              </w:rPr>
              <w:t>课程为本校工业设计的专业核心课程。同时也是本校素质选修课。建设历程及成效如下：</w:t>
            </w:r>
          </w:p>
          <w:p>
            <w:pPr>
              <w:spacing w:line="340" w:lineRule="atLeast"/>
              <w:jc w:val="center"/>
              <w:rPr>
                <w:rFonts w:ascii="仿宋_GB2312" w:hAnsi="仿宋_GB2312" w:eastAsia="仿宋_GB2312" w:cs="仿宋_GB2312"/>
                <w:kern w:val="0"/>
                <w:szCs w:val="21"/>
              </w:rPr>
            </w:pPr>
            <w:r>
              <w:drawing>
                <wp:inline distT="0" distB="0" distL="0" distR="0">
                  <wp:extent cx="5273675" cy="2409190"/>
                  <wp:effectExtent l="0" t="0" r="0" b="0"/>
                  <wp:docPr id="1433914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14411" name="图片 1"/>
                          <pic:cNvPicPr>
                            <a:picLocks noChangeAspect="1"/>
                          </pic:cNvPicPr>
                        </pic:nvPicPr>
                        <pic:blipFill>
                          <a:blip r:embed="rId8"/>
                          <a:srcRect t="19828" b="15563"/>
                          <a:stretch>
                            <a:fillRect/>
                          </a:stretch>
                        </pic:blipFill>
                        <pic:spPr>
                          <a:xfrm>
                            <a:off x="0" y="0"/>
                            <a:ext cx="5274310" cy="2409490"/>
                          </a:xfrm>
                          <a:prstGeom prst="rect">
                            <a:avLst/>
                          </a:prstGeom>
                          <a:ln>
                            <a:noFill/>
                          </a:ln>
                        </pic:spPr>
                      </pic:pic>
                    </a:graphicData>
                  </a:graphic>
                </wp:inline>
              </w:drawing>
            </w:r>
            <w:r>
              <w:rPr>
                <w:rFonts w:hint="eastAsia" w:ascii="仿宋_GB2312" w:hAnsi="仿宋_GB2312" w:eastAsia="仿宋_GB2312" w:cs="仿宋_GB2312"/>
                <w:kern w:val="0"/>
                <w:szCs w:val="21"/>
              </w:rPr>
              <w:t>图1</w:t>
            </w:r>
            <w:r>
              <w:rPr>
                <w:rFonts w:ascii="仿宋_GB2312" w:hAnsi="仿宋_GB2312" w:eastAsia="仿宋_GB2312" w:cs="仿宋_GB2312"/>
                <w:kern w:val="0"/>
                <w:szCs w:val="21"/>
              </w:rPr>
              <w:t xml:space="preserve"> </w:t>
            </w:r>
            <w:r>
              <w:rPr>
                <w:rFonts w:hint="eastAsia" w:ascii="仿宋_GB2312" w:hAnsi="仿宋_GB2312" w:eastAsia="仿宋_GB2312" w:cs="仿宋_GB2312"/>
                <w:kern w:val="0"/>
                <w:szCs w:val="21"/>
              </w:rPr>
              <w:t>课程建设历程及成效</w:t>
            </w:r>
          </w:p>
          <w:p>
            <w:pPr>
              <w:spacing w:before="240"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（二）课程与教学改革要解决的重点问题</w:t>
            </w:r>
          </w:p>
          <w:p>
            <w:pPr>
              <w:spacing w:line="360" w:lineRule="auto"/>
              <w:rPr>
                <w:rFonts w:cs="仿宋_GB2312" w:asciiTheme="minorEastAsia" w:hAnsiTheme="minorEastAsia"/>
                <w:b/>
                <w:bCs/>
                <w:kern w:val="0"/>
                <w:sz w:val="24"/>
                <w:szCs w:val="24"/>
              </w:rPr>
            </w:pPr>
            <w:r>
              <w:rPr>
                <w:rFonts w:hint="eastAsia" w:asciiTheme="minorEastAsia" w:hAnsiTheme="minorEastAsia"/>
                <w:b/>
                <w:sz w:val="24"/>
                <w:szCs w:val="24"/>
              </w:rPr>
              <w:t>1</w:t>
            </w:r>
            <w:r>
              <w:rPr>
                <w:rFonts w:asciiTheme="minorEastAsia" w:hAnsiTheme="minorEastAsia"/>
                <w:b/>
                <w:sz w:val="24"/>
                <w:szCs w:val="24"/>
              </w:rPr>
              <w:t>.</w:t>
            </w:r>
            <w:r>
              <w:rPr>
                <w:rFonts w:cs="仿宋_GB2312" w:asciiTheme="minorEastAsia" w:hAnsiTheme="minorEastAsia"/>
                <w:b/>
                <w:bCs/>
                <w:kern w:val="0"/>
                <w:sz w:val="24"/>
                <w:szCs w:val="24"/>
              </w:rPr>
              <w:t>线上线下结合、课堂内外</w:t>
            </w:r>
            <w:r>
              <w:rPr>
                <w:rFonts w:hint="eastAsia" w:cs="仿宋_GB2312" w:asciiTheme="minorEastAsia" w:hAnsiTheme="minorEastAsia"/>
                <w:b/>
                <w:bCs/>
                <w:kern w:val="0"/>
                <w:sz w:val="24"/>
                <w:szCs w:val="24"/>
              </w:rPr>
              <w:t>联动</w:t>
            </w:r>
            <w:r>
              <w:rPr>
                <w:rFonts w:cs="仿宋_GB2312" w:asciiTheme="minorEastAsia" w:hAnsiTheme="minorEastAsia"/>
                <w:b/>
                <w:bCs/>
                <w:kern w:val="0"/>
                <w:sz w:val="24"/>
                <w:szCs w:val="24"/>
              </w:rPr>
              <w:t>，解决</w:t>
            </w:r>
            <w:r>
              <w:rPr>
                <w:rFonts w:hint="eastAsia" w:cs="仿宋_GB2312" w:asciiTheme="minorEastAsia" w:hAnsiTheme="minorEastAsia"/>
                <w:b/>
                <w:bCs/>
                <w:kern w:val="0"/>
                <w:sz w:val="24"/>
                <w:szCs w:val="24"/>
              </w:rPr>
              <w:t>传统课程教学重知识传授、轻能力培养的问题</w:t>
            </w:r>
          </w:p>
          <w:p>
            <w:pPr>
              <w:adjustRightInd w:val="0"/>
              <w:spacing w:line="360" w:lineRule="auto"/>
              <w:ind w:firstLine="480" w:firstLineChars="200"/>
              <w:rPr>
                <w:rFonts w:ascii="宋体" w:hAnsi="宋体"/>
                <w:bCs/>
                <w:kern w:val="0"/>
                <w:sz w:val="24"/>
              </w:rPr>
            </w:pPr>
            <w:r>
              <w:rPr>
                <w:rFonts w:hint="eastAsia" w:ascii="宋体" w:hAnsi="宋体"/>
                <w:bCs/>
                <w:kern w:val="0"/>
                <w:sz w:val="24"/>
              </w:rPr>
              <w:t>人机工程学是人体科学、工程技术、环境科学、美学及社会学等多学科交叉形成的综合学科，理论和实际应用并重，广泛应用于各个设计领域。课程内容涉及面广泛，存在理论知识容量大、课时有限、实践不足等问题，单纯的知识授课不能将知识转化为设计能力输出到设计实践当中，不能训练学生的综合创新设计能力。线上教学，学生完成理论知识的自主学习。线下教学引领学生深入思考、积极参与设计实践，尝试通过教、学、练、交流、验证这一系列的教学环节，让学生真正</w:t>
            </w:r>
            <w:bookmarkStart w:id="3" w:name="_Hlk153491635"/>
            <w:r>
              <w:rPr>
                <w:rFonts w:hint="eastAsia" w:ascii="宋体" w:hAnsi="宋体"/>
                <w:bCs/>
                <w:kern w:val="0"/>
                <w:sz w:val="24"/>
              </w:rPr>
              <w:t>掌握人机、理解人机、运用人机</w:t>
            </w:r>
            <w:bookmarkEnd w:id="3"/>
            <w:r>
              <w:rPr>
                <w:rFonts w:hint="eastAsia" w:ascii="宋体" w:hAnsi="宋体"/>
                <w:bCs/>
                <w:kern w:val="0"/>
                <w:sz w:val="24"/>
              </w:rPr>
              <w:t>。</w:t>
            </w:r>
          </w:p>
          <w:p>
            <w:pPr>
              <w:spacing w:line="360" w:lineRule="auto"/>
              <w:rPr>
                <w:rFonts w:asciiTheme="minorEastAsia" w:hAnsiTheme="minorEastAsia"/>
                <w:b/>
                <w:sz w:val="24"/>
                <w:szCs w:val="24"/>
              </w:rPr>
            </w:pPr>
            <w:r>
              <w:rPr>
                <w:rFonts w:asciiTheme="minorEastAsia" w:hAnsiTheme="minorEastAsia"/>
                <w:b/>
                <w:sz w:val="24"/>
                <w:szCs w:val="24"/>
              </w:rPr>
              <w:t>2</w:t>
            </w:r>
            <w:r>
              <w:rPr>
                <w:rFonts w:hint="eastAsia" w:asciiTheme="minorEastAsia" w:hAnsiTheme="minorEastAsia"/>
                <w:b/>
                <w:sz w:val="24"/>
                <w:szCs w:val="24"/>
              </w:rPr>
              <w:t>. 产教融合-课企融通，</w:t>
            </w:r>
            <w:r>
              <w:rPr>
                <w:rFonts w:hint="eastAsia" w:ascii="宋体" w:hAnsi="宋体"/>
                <w:b/>
                <w:kern w:val="0"/>
                <w:sz w:val="24"/>
              </w:rPr>
              <w:t>解决传统教学内容和方法和产业需求错位的问题。</w:t>
            </w:r>
          </w:p>
          <w:p>
            <w:pPr>
              <w:spacing w:line="360" w:lineRule="auto"/>
              <w:ind w:firstLine="480" w:firstLineChars="200"/>
              <w:rPr>
                <w:rFonts w:ascii="宋体" w:hAnsi="宋体"/>
                <w:bCs/>
                <w:kern w:val="0"/>
                <w:sz w:val="24"/>
              </w:rPr>
            </w:pPr>
            <w:r>
              <w:rPr>
                <w:rFonts w:hint="eastAsia" w:ascii="宋体" w:hAnsi="宋体"/>
                <w:bCs/>
                <w:kern w:val="0"/>
                <w:sz w:val="24"/>
              </w:rPr>
              <w:t>目前普遍存在企业需求不能有效传导至设计教学环节，学校针对产业需求的思考不够，院校课程的训练内容时效性相对滞后于企业对工业设计人才的需求等问题。</w:t>
            </w:r>
            <w:r>
              <w:rPr>
                <w:rFonts w:hint="eastAsia" w:asciiTheme="minorEastAsia" w:hAnsiTheme="minorEastAsia"/>
                <w:sz w:val="24"/>
                <w:szCs w:val="24"/>
              </w:rPr>
              <w:t>探索引企入教、送教入企，如和四川省宜宾五粮液集团有限公司、四川省宜宾普拉斯包装材料有限公司、成都浪尖工业设计公</w:t>
            </w:r>
            <w:r>
              <w:rPr>
                <w:rFonts w:asciiTheme="minorEastAsia" w:hAnsiTheme="minorEastAsia"/>
                <w:sz w:val="24"/>
                <w:szCs w:val="24"/>
              </w:rPr>
              <w:t>司</w:t>
            </w:r>
            <w:r>
              <w:rPr>
                <w:rFonts w:hint="eastAsia" w:asciiTheme="minorEastAsia" w:hAnsiTheme="minorEastAsia"/>
                <w:sz w:val="24"/>
                <w:szCs w:val="24"/>
              </w:rPr>
              <w:t>等生产企业和设计公司建立稳定深入的合作机制和模式，结合产业需求，企业导师组织企业相关人员（如用户研究、结构设计、创意设计、生产制造等）参与课程教学。让学生了解市场和生产方向的需求，解决人才培养和产业需求错位的问题。</w:t>
            </w:r>
          </w:p>
          <w:p>
            <w:pPr>
              <w:spacing w:line="360" w:lineRule="auto"/>
              <w:rPr>
                <w:rFonts w:asciiTheme="minorEastAsia" w:hAnsiTheme="minorEastAsia"/>
                <w:b/>
                <w:sz w:val="24"/>
                <w:szCs w:val="24"/>
              </w:rPr>
            </w:pPr>
            <w:r>
              <w:rPr>
                <w:rFonts w:hint="eastAsia" w:asciiTheme="minorEastAsia" w:hAnsiTheme="minorEastAsia"/>
                <w:b/>
                <w:sz w:val="24"/>
                <w:szCs w:val="24"/>
              </w:rPr>
              <w:t>3.</w:t>
            </w:r>
            <w:r>
              <w:rPr>
                <w:rFonts w:asciiTheme="minorEastAsia" w:hAnsiTheme="minorEastAsia"/>
                <w:b/>
                <w:sz w:val="24"/>
                <w:szCs w:val="24"/>
              </w:rPr>
              <w:t xml:space="preserve"> 完善</w:t>
            </w:r>
            <w:r>
              <w:rPr>
                <w:rFonts w:hint="eastAsia" w:asciiTheme="minorEastAsia" w:hAnsiTheme="minorEastAsia"/>
                <w:b/>
                <w:sz w:val="24"/>
                <w:szCs w:val="24"/>
              </w:rPr>
              <w:t>实验课程和课外设计实践教学内容，解决学生理论知识理解不深入和产品创新设计不足的问题。</w:t>
            </w:r>
          </w:p>
          <w:p>
            <w:pPr>
              <w:spacing w:line="360" w:lineRule="auto"/>
              <w:rPr>
                <w:rFonts w:asciiTheme="minorEastAsia" w:hAnsiTheme="minorEastAsia"/>
                <w:sz w:val="24"/>
                <w:szCs w:val="24"/>
              </w:rPr>
            </w:pPr>
            <w:r>
              <w:rPr>
                <w:rFonts w:hint="eastAsia" w:asciiTheme="minorEastAsia" w:hAnsiTheme="minorEastAsia"/>
                <w:sz w:val="24"/>
                <w:szCs w:val="24"/>
              </w:rPr>
              <w:t xml:space="preserve">   　现有人机基础实验教学能测试人体基础生理能力和心理参数，加深学生对理论知识的理解和体验，但是不能满足更深入用户体验设计研究的需求。增建用户体验实验室，如建立</w:t>
            </w:r>
            <w:r>
              <w:rPr>
                <w:rFonts w:asciiTheme="minorEastAsia" w:hAnsiTheme="minorEastAsia"/>
                <w:sz w:val="24"/>
                <w:szCs w:val="24"/>
              </w:rPr>
              <w:t>ErgoLAB</w:t>
            </w:r>
            <w:r>
              <w:rPr>
                <w:rFonts w:hint="eastAsia" w:asciiTheme="minorEastAsia" w:hAnsiTheme="minorEastAsia"/>
                <w:sz w:val="24"/>
                <w:szCs w:val="24"/>
              </w:rPr>
              <w:t>人机交互实验室，通过深入研究人机交互过程中人的行为特征和生理心理（如眼动、脑电波）变化规律，提升人机工程学理论教学的深度和挑战度。在设计实践方面，构建校企合作需求项目、学科竞赛项目驱动的课外设计训练教学内容，锻炼学生的创新设计实战能力。</w:t>
            </w:r>
          </w:p>
          <w:p>
            <w:pPr>
              <w:spacing w:line="360" w:lineRule="auto"/>
              <w:rPr>
                <w:rFonts w:asciiTheme="minorEastAsia" w:hAnsiTheme="minorEastAsia"/>
                <w:sz w:val="24"/>
                <w:szCs w:val="24"/>
              </w:rPr>
            </w:pPr>
            <w:r>
              <w:rPr>
                <w:rFonts w:hint="eastAsia" w:cs="仿宋_GB2312" w:asciiTheme="minorEastAsia" w:hAnsiTheme="minorEastAsia"/>
                <w:b/>
                <w:bCs/>
                <w:kern w:val="0"/>
                <w:sz w:val="24"/>
                <w:szCs w:val="24"/>
              </w:rPr>
              <w:t>（三）混合式教学设计</w:t>
            </w:r>
          </w:p>
          <w:p>
            <w:pPr>
              <w:spacing w:line="360" w:lineRule="auto"/>
              <w:ind w:firstLine="480" w:firstLineChars="200"/>
              <w:jc w:val="left"/>
              <w:rPr>
                <w:rFonts w:asciiTheme="minorEastAsia" w:hAnsiTheme="minorEastAsia"/>
                <w:sz w:val="24"/>
                <w:szCs w:val="24"/>
              </w:rPr>
            </w:pPr>
            <w:r>
              <w:rPr>
                <w:rFonts w:hint="eastAsia" w:ascii="仿宋_GB2312" w:hAnsi="仿宋_GB2312" w:eastAsia="仿宋_GB2312" w:cs="仿宋_GB2312"/>
                <w:kern w:val="0"/>
                <w:sz w:val="24"/>
                <w:szCs w:val="24"/>
              </w:rPr>
              <w:t xml:space="preserve"> </w:t>
            </w:r>
            <w:r>
              <w:rPr>
                <w:rFonts w:asciiTheme="minorEastAsia" w:hAnsiTheme="minorEastAsia"/>
                <w:sz w:val="24"/>
                <w:szCs w:val="24"/>
              </w:rPr>
              <w:t>面向新经济、新工科发展需求，坚持OBE人才培养理念</w:t>
            </w:r>
            <w:r>
              <w:rPr>
                <w:rFonts w:hint="eastAsia" w:asciiTheme="minorEastAsia" w:hAnsiTheme="minorEastAsia"/>
                <w:sz w:val="24"/>
                <w:szCs w:val="24"/>
              </w:rPr>
              <w:t>。课前：学生</w:t>
            </w:r>
            <w:r>
              <w:rPr>
                <w:rFonts w:asciiTheme="minorEastAsia" w:hAnsiTheme="minorEastAsia"/>
                <w:sz w:val="24"/>
                <w:szCs w:val="24"/>
              </w:rPr>
              <w:t>通过线上</w:t>
            </w:r>
            <w:r>
              <w:rPr>
                <w:rFonts w:hint="eastAsia" w:asciiTheme="minorEastAsia" w:hAnsiTheme="minorEastAsia"/>
                <w:sz w:val="24"/>
                <w:szCs w:val="24"/>
              </w:rPr>
              <w:t>S</w:t>
            </w:r>
            <w:r>
              <w:rPr>
                <w:rFonts w:asciiTheme="minorEastAsia" w:hAnsiTheme="minorEastAsia"/>
                <w:sz w:val="24"/>
                <w:szCs w:val="24"/>
              </w:rPr>
              <w:t>POC</w:t>
            </w:r>
            <w:r>
              <w:rPr>
                <w:rFonts w:hint="eastAsia" w:asciiTheme="minorEastAsia" w:hAnsiTheme="minorEastAsia"/>
                <w:sz w:val="24"/>
                <w:szCs w:val="24"/>
              </w:rPr>
              <w:t>课程完成理论知识的自主学习</w:t>
            </w:r>
            <w:r>
              <w:rPr>
                <w:rFonts w:asciiTheme="minorEastAsia" w:hAnsiTheme="minorEastAsia"/>
                <w:sz w:val="24"/>
                <w:szCs w:val="24"/>
              </w:rPr>
              <w:t>；</w:t>
            </w:r>
            <w:r>
              <w:rPr>
                <w:rFonts w:hint="eastAsia" w:asciiTheme="minorEastAsia" w:hAnsiTheme="minorEastAsia"/>
                <w:sz w:val="24"/>
                <w:szCs w:val="24"/>
              </w:rPr>
              <w:t>课中：</w:t>
            </w:r>
            <w:r>
              <w:rPr>
                <w:rFonts w:asciiTheme="minorEastAsia" w:hAnsiTheme="minorEastAsia"/>
                <w:sz w:val="24"/>
                <w:szCs w:val="24"/>
              </w:rPr>
              <w:t>通过</w:t>
            </w:r>
            <w:r>
              <w:rPr>
                <w:rFonts w:hint="eastAsia" w:asciiTheme="minorEastAsia" w:hAnsiTheme="minorEastAsia"/>
                <w:sz w:val="24"/>
                <w:szCs w:val="24"/>
              </w:rPr>
              <w:t>汇报式、</w:t>
            </w:r>
            <w:r>
              <w:rPr>
                <w:rFonts w:asciiTheme="minorEastAsia" w:hAnsiTheme="minorEastAsia"/>
                <w:sz w:val="24"/>
                <w:szCs w:val="24"/>
              </w:rPr>
              <w:t>讨论式</w:t>
            </w:r>
            <w:r>
              <w:rPr>
                <w:rFonts w:hint="eastAsia" w:asciiTheme="minorEastAsia" w:hAnsiTheme="minorEastAsia"/>
                <w:sz w:val="24"/>
                <w:szCs w:val="24"/>
              </w:rPr>
              <w:t>、案例教学（</w:t>
            </w:r>
            <w:r>
              <w:rPr>
                <w:rFonts w:asciiTheme="minorEastAsia" w:hAnsiTheme="minorEastAsia"/>
                <w:sz w:val="24"/>
                <w:szCs w:val="24"/>
              </w:rPr>
              <w:t>CBL）等开展</w:t>
            </w:r>
            <w:r>
              <w:rPr>
                <w:rFonts w:hint="eastAsia" w:asciiTheme="minorEastAsia" w:hAnsiTheme="minorEastAsia"/>
                <w:sz w:val="24"/>
                <w:szCs w:val="24"/>
              </w:rPr>
              <w:t>线下</w:t>
            </w:r>
            <w:r>
              <w:rPr>
                <w:rFonts w:asciiTheme="minorEastAsia" w:hAnsiTheme="minorEastAsia"/>
                <w:sz w:val="24"/>
                <w:szCs w:val="24"/>
              </w:rPr>
              <w:t>课堂教学，评析讨论成功的人机设计案例，学生</w:t>
            </w:r>
            <w:r>
              <w:rPr>
                <w:rFonts w:hint="eastAsia" w:asciiTheme="minorEastAsia" w:hAnsiTheme="minorEastAsia"/>
                <w:sz w:val="24"/>
                <w:szCs w:val="24"/>
              </w:rPr>
              <w:t>展示</w:t>
            </w:r>
            <w:r>
              <w:rPr>
                <w:rFonts w:asciiTheme="minorEastAsia" w:hAnsiTheme="minorEastAsia"/>
                <w:sz w:val="24"/>
                <w:szCs w:val="24"/>
              </w:rPr>
              <w:t>设计作品，针对性地分析设计的优点和存在的问题，并提出改进建议，调动学生课内学习</w:t>
            </w:r>
            <w:r>
              <w:rPr>
                <w:rFonts w:hint="eastAsia" w:asciiTheme="minorEastAsia" w:hAnsiTheme="minorEastAsia"/>
                <w:sz w:val="24"/>
                <w:szCs w:val="24"/>
              </w:rPr>
              <w:t>的积极性</w:t>
            </w:r>
            <w:r>
              <w:rPr>
                <w:rFonts w:asciiTheme="minorEastAsia" w:hAnsiTheme="minorEastAsia"/>
                <w:sz w:val="24"/>
                <w:szCs w:val="24"/>
              </w:rPr>
              <w:t>。</w:t>
            </w:r>
            <w:r>
              <w:rPr>
                <w:rFonts w:hint="eastAsia" w:asciiTheme="minorEastAsia" w:hAnsiTheme="minorEastAsia"/>
                <w:sz w:val="24"/>
                <w:szCs w:val="24"/>
              </w:rPr>
              <w:t>课后：通过完成企业需求项目设计、企业导师交流辅导、企业参观、实验课程等多元途径，锻炼创新设计和解决实际问题的高阶能力，提升学生产品创新设计能力。课程混合教学整体设计思路如图２所示：</w:t>
            </w:r>
            <w:r>
              <w:drawing>
                <wp:inline distT="0" distB="0" distL="0" distR="0">
                  <wp:extent cx="5274310" cy="4916170"/>
                  <wp:effectExtent l="0" t="0" r="2540" b="0"/>
                  <wp:docPr id="20146583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65832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4310" cy="4916170"/>
                          </a:xfrm>
                          <a:prstGeom prst="rect">
                            <a:avLst/>
                          </a:prstGeom>
                          <a:noFill/>
                          <a:ln>
                            <a:noFill/>
                          </a:ln>
                        </pic:spPr>
                      </pic:pic>
                    </a:graphicData>
                  </a:graphic>
                </wp:inline>
              </w:drawing>
            </w:r>
          </w:p>
          <w:p>
            <w:pPr>
              <w:spacing w:line="340" w:lineRule="atLeast"/>
              <w:rPr>
                <w:rFonts w:ascii="仿宋_GB2312" w:hAnsi="仿宋_GB2312" w:eastAsia="仿宋_GB2312" w:cs="仿宋_GB2312"/>
                <w:kern w:val="0"/>
                <w:sz w:val="24"/>
                <w:szCs w:val="24"/>
              </w:rPr>
            </w:pPr>
          </w:p>
          <w:p>
            <w:pPr>
              <w:spacing w:line="340" w:lineRule="atLeast"/>
              <w:ind w:firstLine="2520" w:firstLineChars="1200"/>
              <w:rPr>
                <w:rFonts w:ascii="仿宋_GB2312" w:hAnsi="仿宋_GB2312" w:eastAsia="仿宋_GB2312" w:cs="仿宋_GB2312"/>
                <w:kern w:val="0"/>
                <w:szCs w:val="21"/>
              </w:rPr>
            </w:pPr>
            <w:r>
              <w:rPr>
                <w:rFonts w:hint="eastAsia" w:ascii="仿宋_GB2312" w:hAnsi="仿宋_GB2312" w:eastAsia="仿宋_GB2312" w:cs="仿宋_GB2312"/>
                <w:kern w:val="0"/>
                <w:szCs w:val="21"/>
              </w:rPr>
              <w:t>图</w:t>
            </w:r>
            <w:r>
              <w:rPr>
                <w:rFonts w:ascii="仿宋_GB2312" w:hAnsi="仿宋_GB2312" w:eastAsia="仿宋_GB2312" w:cs="仿宋_GB2312"/>
                <w:kern w:val="0"/>
                <w:szCs w:val="21"/>
              </w:rPr>
              <w:t xml:space="preserve">2 </w:t>
            </w:r>
            <w:r>
              <w:rPr>
                <w:rFonts w:hint="eastAsia" w:ascii="仿宋_GB2312" w:hAnsi="仿宋_GB2312" w:eastAsia="仿宋_GB2312" w:cs="仿宋_GB2312"/>
                <w:kern w:val="0"/>
                <w:szCs w:val="21"/>
              </w:rPr>
              <w:t>课程混合教学整体设计思路</w:t>
            </w:r>
          </w:p>
          <w:p>
            <w:pPr>
              <w:spacing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（四）课程内容与资源建设及应用情况</w:t>
            </w:r>
          </w:p>
          <w:p>
            <w:pPr>
              <w:spacing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1</w:t>
            </w:r>
            <w:r>
              <w:rPr>
                <w:rFonts w:cs="仿宋_GB2312" w:asciiTheme="minorEastAsia" w:hAnsiTheme="minorEastAsia"/>
                <w:b/>
                <w:bCs/>
                <w:kern w:val="0"/>
                <w:sz w:val="24"/>
                <w:szCs w:val="24"/>
              </w:rPr>
              <w:t>.</w:t>
            </w:r>
            <w:r>
              <w:rPr>
                <w:rFonts w:hint="eastAsia" w:cs="仿宋_GB2312" w:asciiTheme="minorEastAsia" w:hAnsiTheme="minorEastAsia"/>
                <w:b/>
                <w:bCs/>
                <w:kern w:val="0"/>
                <w:sz w:val="24"/>
                <w:szCs w:val="24"/>
              </w:rPr>
              <w:t>课程内容建设</w:t>
            </w:r>
          </w:p>
          <w:p>
            <w:pPr>
              <w:spacing w:line="360" w:lineRule="auto"/>
              <w:ind w:firstLine="482" w:firstLineChars="200"/>
              <w:rPr>
                <w:rFonts w:cs="仿宋_GB2312" w:asciiTheme="minorEastAsia" w:hAnsiTheme="minorEastAsia"/>
                <w:kern w:val="0"/>
                <w:sz w:val="24"/>
                <w:szCs w:val="24"/>
              </w:rPr>
            </w:pPr>
            <w:r>
              <w:rPr>
                <w:rFonts w:hint="eastAsia" w:cs="仿宋_GB2312" w:asciiTheme="minorEastAsia" w:hAnsiTheme="minorEastAsia"/>
                <w:b/>
                <w:bCs/>
                <w:kern w:val="0"/>
                <w:sz w:val="24"/>
                <w:szCs w:val="24"/>
              </w:rPr>
              <w:t>（１）</w:t>
            </w:r>
            <w:r>
              <w:rPr>
                <w:rFonts w:cs="仿宋_GB2312" w:asciiTheme="minorEastAsia" w:hAnsiTheme="minorEastAsia"/>
                <w:b/>
                <w:bCs/>
                <w:kern w:val="0"/>
                <w:sz w:val="24"/>
                <w:szCs w:val="24"/>
              </w:rPr>
              <w:t>构建符合工业设计专业特色和行业需求的</w:t>
            </w:r>
            <w:r>
              <w:rPr>
                <w:rFonts w:hint="eastAsia" w:cs="仿宋_GB2312" w:asciiTheme="minorEastAsia" w:hAnsiTheme="minorEastAsia"/>
                <w:b/>
                <w:bCs/>
                <w:kern w:val="0"/>
                <w:sz w:val="24"/>
                <w:szCs w:val="24"/>
              </w:rPr>
              <w:t>课程内容体系。</w:t>
            </w:r>
            <w:r>
              <w:rPr>
                <w:rFonts w:hint="eastAsia" w:cs="仿宋_GB2312" w:asciiTheme="minorEastAsia" w:hAnsiTheme="minorEastAsia"/>
                <w:kern w:val="0"/>
                <w:sz w:val="24"/>
                <w:szCs w:val="24"/>
              </w:rPr>
              <w:t>包括理论教学、实验教学、设计实践、人机案例库等教学内容，并不断优化和更新。如理论部分，</w:t>
            </w:r>
            <w:r>
              <w:rPr>
                <w:rFonts w:cs="仿宋_GB2312" w:asciiTheme="minorEastAsia" w:hAnsiTheme="minorEastAsia"/>
                <w:kern w:val="0"/>
                <w:sz w:val="24"/>
                <w:szCs w:val="24"/>
              </w:rPr>
              <w:t>2020</w:t>
            </w:r>
            <w:r>
              <w:rPr>
                <w:rFonts w:hint="eastAsia" w:cs="仿宋_GB2312" w:asciiTheme="minorEastAsia" w:hAnsiTheme="minorEastAsia"/>
                <w:kern w:val="0"/>
                <w:sz w:val="24"/>
                <w:szCs w:val="24"/>
              </w:rPr>
              <w:t>年删除了声光热环境部分内容，</w:t>
            </w:r>
            <w:r>
              <w:rPr>
                <w:rFonts w:cs="仿宋_GB2312" w:asciiTheme="minorEastAsia" w:hAnsiTheme="minorEastAsia"/>
                <w:kern w:val="0"/>
                <w:sz w:val="24"/>
                <w:szCs w:val="24"/>
              </w:rPr>
              <w:t>2021</w:t>
            </w:r>
            <w:r>
              <w:rPr>
                <w:rFonts w:hint="eastAsia" w:cs="仿宋_GB2312" w:asciiTheme="minorEastAsia" w:hAnsiTheme="minorEastAsia"/>
                <w:kern w:val="0"/>
                <w:sz w:val="24"/>
                <w:szCs w:val="24"/>
              </w:rPr>
              <w:t>年增加人性化和共用性设计理念和方法，</w:t>
            </w:r>
            <w:r>
              <w:rPr>
                <w:rFonts w:cs="仿宋_GB2312" w:asciiTheme="minorEastAsia" w:hAnsiTheme="minorEastAsia"/>
                <w:kern w:val="0"/>
                <w:sz w:val="24"/>
                <w:szCs w:val="24"/>
              </w:rPr>
              <w:t>2022-23</w:t>
            </w:r>
            <w:r>
              <w:rPr>
                <w:rFonts w:hint="eastAsia" w:cs="仿宋_GB2312" w:asciiTheme="minorEastAsia" w:hAnsiTheme="minorEastAsia"/>
                <w:kern w:val="0"/>
                <w:sz w:val="24"/>
                <w:szCs w:val="24"/>
              </w:rPr>
              <w:t>年加强了课程思政的内容。</w:t>
            </w:r>
          </w:p>
          <w:p>
            <w:pPr>
              <w:spacing w:line="360" w:lineRule="auto"/>
              <w:ind w:firstLine="482" w:firstLineChars="200"/>
              <w:rPr>
                <w:rFonts w:cs="仿宋_GB2312" w:asciiTheme="minorEastAsia" w:hAnsiTheme="minorEastAsia"/>
                <w:kern w:val="0"/>
                <w:sz w:val="24"/>
                <w:szCs w:val="24"/>
              </w:rPr>
            </w:pPr>
            <w:r>
              <w:rPr>
                <w:rFonts w:hint="eastAsia" w:cs="仿宋_GB2312" w:asciiTheme="minorEastAsia" w:hAnsiTheme="minorEastAsia"/>
                <w:b/>
                <w:bCs/>
                <w:kern w:val="0"/>
                <w:sz w:val="24"/>
                <w:szCs w:val="24"/>
              </w:rPr>
              <w:t>（2）</w:t>
            </w:r>
            <w:r>
              <w:rPr>
                <w:rFonts w:cs="仿宋_GB2312" w:asciiTheme="minorEastAsia" w:hAnsiTheme="minorEastAsia"/>
                <w:b/>
                <w:bCs/>
                <w:kern w:val="0"/>
                <w:sz w:val="24"/>
                <w:szCs w:val="24"/>
              </w:rPr>
              <w:t>及时吸纳前沿新知。</w:t>
            </w:r>
            <w:r>
              <w:rPr>
                <w:rFonts w:hint="eastAsia" w:cs="仿宋_GB2312" w:asciiTheme="minorEastAsia" w:hAnsiTheme="minorEastAsia"/>
                <w:kern w:val="0"/>
                <w:sz w:val="24"/>
                <w:szCs w:val="24"/>
              </w:rPr>
              <w:t>紧盯人机工程学科学与设计产业前沿，将用户体验、人性化设计理念、</w:t>
            </w:r>
            <w:r>
              <w:rPr>
                <w:rFonts w:hint="eastAsia" w:cs="仿宋_GB2312" w:asciiTheme="minorEastAsia" w:hAnsiTheme="minorEastAsia"/>
                <w:sz w:val="24"/>
                <w:szCs w:val="24"/>
              </w:rPr>
              <w:t>数字人机工程学、</w:t>
            </w:r>
            <w:r>
              <w:rPr>
                <w:rFonts w:hint="eastAsia" w:cs="仿宋_GB2312" w:asciiTheme="minorEastAsia" w:hAnsiTheme="minorEastAsia"/>
                <w:kern w:val="0"/>
                <w:sz w:val="24"/>
                <w:szCs w:val="24"/>
              </w:rPr>
              <w:t>智能化人机系统</w:t>
            </w:r>
            <w:r>
              <w:rPr>
                <w:rFonts w:hint="eastAsia" w:cs="仿宋_GB2312" w:asciiTheme="minorEastAsia" w:hAnsiTheme="minorEastAsia"/>
                <w:sz w:val="24"/>
                <w:szCs w:val="24"/>
              </w:rPr>
              <w:t>等</w:t>
            </w:r>
            <w:r>
              <w:rPr>
                <w:rFonts w:hint="eastAsia" w:cs="仿宋_GB2312" w:asciiTheme="minorEastAsia" w:hAnsiTheme="minorEastAsia"/>
                <w:kern w:val="0"/>
                <w:sz w:val="24"/>
                <w:szCs w:val="24"/>
              </w:rPr>
              <w:t>新方法、新技术、新设计、新标准、新理念等融入课程，确保课程内容的时代性和前沿性。为学生研究性和深度学习提供支撑。企业真题和学科竞赛项目驱动的设计实践教学内容、人机案例每年更新。</w:t>
            </w:r>
          </w:p>
          <w:p>
            <w:pPr>
              <w:spacing w:line="360" w:lineRule="auto"/>
              <w:rPr>
                <w:rFonts w:cs="仿宋_GB2312" w:asciiTheme="minorEastAsia" w:hAnsiTheme="minorEastAsia"/>
                <w:b/>
                <w:bCs/>
                <w:kern w:val="0"/>
                <w:sz w:val="24"/>
                <w:szCs w:val="24"/>
              </w:rPr>
            </w:pPr>
            <w:r>
              <w:rPr>
                <w:rFonts w:cs="仿宋_GB2312" w:asciiTheme="minorEastAsia" w:hAnsiTheme="minorEastAsia"/>
                <w:b/>
                <w:bCs/>
                <w:kern w:val="0"/>
                <w:sz w:val="24"/>
                <w:szCs w:val="24"/>
              </w:rPr>
              <w:t>2.</w:t>
            </w:r>
            <w:r>
              <w:rPr>
                <w:rFonts w:hint="eastAsia" w:cs="仿宋_GB2312" w:asciiTheme="minorEastAsia" w:hAnsiTheme="minorEastAsia"/>
                <w:b/>
                <w:bCs/>
                <w:kern w:val="0"/>
                <w:sz w:val="24"/>
                <w:szCs w:val="24"/>
              </w:rPr>
              <w:t>资源建设</w:t>
            </w:r>
          </w:p>
          <w:p>
            <w:pPr>
              <w:spacing w:line="360" w:lineRule="auto"/>
              <w:jc w:val="left"/>
              <w:rPr>
                <w:rFonts w:cs="仿宋_GB2312" w:asciiTheme="minorEastAsia" w:hAnsiTheme="minorEastAsia"/>
                <w:b/>
                <w:bCs/>
                <w:kern w:val="0"/>
                <w:sz w:val="24"/>
                <w:szCs w:val="24"/>
              </w:rPr>
            </w:pPr>
            <w:r>
              <w:rPr>
                <w:rFonts w:hint="eastAsia" w:cs="仿宋_GB2312" w:asciiTheme="minorEastAsia" w:hAnsiTheme="minorEastAsia"/>
                <w:kern w:val="0"/>
                <w:sz w:val="24"/>
                <w:szCs w:val="24"/>
              </w:rPr>
              <w:t xml:space="preserve"> </w:t>
            </w:r>
            <w:r>
              <w:rPr>
                <w:rFonts w:cs="仿宋_GB2312" w:asciiTheme="minorEastAsia" w:hAnsiTheme="minorEastAsia"/>
                <w:kern w:val="0"/>
                <w:sz w:val="24"/>
                <w:szCs w:val="24"/>
              </w:rPr>
              <w:t xml:space="preserve"> </w:t>
            </w:r>
            <w:r>
              <w:rPr>
                <w:rFonts w:hint="eastAsia" w:cs="仿宋_GB2312" w:asciiTheme="minorEastAsia" w:hAnsiTheme="minorEastAsia"/>
                <w:b/>
                <w:bCs/>
                <w:kern w:val="0"/>
                <w:sz w:val="24"/>
                <w:szCs w:val="24"/>
              </w:rPr>
              <w:t>（1）线上资源</w:t>
            </w:r>
          </w:p>
          <w:p>
            <w:pPr>
              <w:spacing w:line="360" w:lineRule="auto"/>
              <w:ind w:firstLine="480" w:firstLineChars="200"/>
              <w:rPr>
                <w:rFonts w:cs="仿宋_GB2312" w:asciiTheme="minorEastAsia" w:hAnsiTheme="minorEastAsia"/>
                <w:kern w:val="0"/>
                <w:sz w:val="24"/>
                <w:szCs w:val="24"/>
              </w:rPr>
            </w:pPr>
            <w:r>
              <w:rPr>
                <w:rFonts w:cs="仿宋_GB2312" w:asciiTheme="minorEastAsia" w:hAnsiTheme="minorEastAsia"/>
                <w:kern w:val="0"/>
                <w:sz w:val="24"/>
                <w:szCs w:val="24"/>
              </w:rPr>
              <w:t>1</w:t>
            </w:r>
            <w:r>
              <w:rPr>
                <w:rFonts w:hint="eastAsia" w:cs="仿宋_GB2312" w:asciiTheme="minorEastAsia" w:hAnsiTheme="minorEastAsia"/>
                <w:kern w:val="0"/>
                <w:sz w:val="24"/>
                <w:szCs w:val="24"/>
              </w:rPr>
              <w:t>）理论教学内容全部上线学银在线和中国MOOC（四川轻化工大学-人机工程学S</w:t>
            </w:r>
            <w:r>
              <w:rPr>
                <w:rFonts w:cs="仿宋_GB2312" w:asciiTheme="minorEastAsia" w:hAnsiTheme="minorEastAsia"/>
                <w:kern w:val="0"/>
                <w:sz w:val="24"/>
                <w:szCs w:val="24"/>
              </w:rPr>
              <w:t>POC</w:t>
            </w:r>
            <w:r>
              <w:rPr>
                <w:rFonts w:hint="eastAsia" w:cs="仿宋_GB2312" w:asciiTheme="minorEastAsia" w:hAnsiTheme="minorEastAsia"/>
                <w:kern w:val="0"/>
                <w:sz w:val="24"/>
                <w:szCs w:val="24"/>
              </w:rPr>
              <w:t>）两个网络平台。</w:t>
            </w:r>
          </w:p>
          <w:p>
            <w:pPr>
              <w:spacing w:line="360" w:lineRule="auto"/>
              <w:ind w:firstLine="480" w:firstLineChars="200"/>
              <w:rPr>
                <w:rFonts w:cs="仿宋_GB2312" w:asciiTheme="minorEastAsia" w:hAnsiTheme="minorEastAsia"/>
                <w:kern w:val="0"/>
                <w:sz w:val="24"/>
                <w:szCs w:val="24"/>
              </w:rPr>
            </w:pPr>
            <w:r>
              <w:rPr>
                <w:rFonts w:hint="eastAsia" w:cs="仿宋_GB2312" w:asciiTheme="minorEastAsia" w:hAnsiTheme="minorEastAsia"/>
                <w:kern w:val="0"/>
                <w:sz w:val="24"/>
                <w:szCs w:val="24"/>
              </w:rPr>
              <w:t xml:space="preserve"> 线上资源包括课程介绍、师资队伍、教学微视频、课件、随堂测验、课堂讨论、单元测验及单元作业、考试等。理论课内容全部录制成8</w:t>
            </w:r>
            <w:r>
              <w:rPr>
                <w:rFonts w:cs="仿宋_GB2312" w:asciiTheme="minorEastAsia" w:hAnsiTheme="minorEastAsia"/>
                <w:kern w:val="0"/>
                <w:sz w:val="24"/>
                <w:szCs w:val="24"/>
              </w:rPr>
              <w:t>0</w:t>
            </w:r>
            <w:r>
              <w:rPr>
                <w:rFonts w:hint="eastAsia" w:cs="仿宋_GB2312" w:asciiTheme="minorEastAsia" w:hAnsiTheme="minorEastAsia"/>
                <w:kern w:val="0"/>
                <w:sz w:val="24"/>
                <w:szCs w:val="24"/>
              </w:rPr>
              <w:t>微视频，每个视频内容配有相应PPT课件，题库题目数量达650多题，授课教师可根据需要建立和发布教学内容，建立作业库和试题库。</w:t>
            </w:r>
          </w:p>
          <w:p>
            <w:pPr>
              <w:spacing w:line="360" w:lineRule="auto"/>
              <w:ind w:firstLine="480" w:firstLineChars="200"/>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2）学银在线平台的人机课程，已全网开放</w:t>
            </w:r>
            <w:r>
              <w:rPr>
                <w:rFonts w:cs="仿宋_GB2312" w:asciiTheme="minorEastAsia" w:hAnsiTheme="minorEastAsia"/>
                <w:kern w:val="0"/>
                <w:sz w:val="24"/>
                <w:szCs w:val="24"/>
              </w:rPr>
              <w:t>8</w:t>
            </w:r>
            <w:r>
              <w:rPr>
                <w:rFonts w:hint="eastAsia" w:cs="仿宋_GB2312" w:asciiTheme="minorEastAsia" w:hAnsiTheme="minorEastAsia"/>
                <w:kern w:val="0"/>
                <w:sz w:val="24"/>
                <w:szCs w:val="24"/>
              </w:rPr>
              <w:t>期，选课人数4</w:t>
            </w:r>
            <w:r>
              <w:rPr>
                <w:rFonts w:cs="仿宋_GB2312" w:asciiTheme="minorEastAsia" w:hAnsiTheme="minorEastAsia"/>
                <w:kern w:val="0"/>
                <w:sz w:val="24"/>
                <w:szCs w:val="24"/>
              </w:rPr>
              <w:t>932</w:t>
            </w:r>
            <w:r>
              <w:rPr>
                <w:rFonts w:hint="eastAsia" w:cs="仿宋_GB2312" w:asciiTheme="minorEastAsia" w:hAnsiTheme="minorEastAsia"/>
                <w:kern w:val="0"/>
                <w:sz w:val="24"/>
                <w:szCs w:val="24"/>
              </w:rPr>
              <w:t>人，疫情期间为全国十多所高校学生提供在线学习资源。课程平台链</w:t>
            </w:r>
            <w:r>
              <w:fldChar w:fldCharType="begin"/>
            </w:r>
            <w:r>
              <w:instrText xml:space="preserve">HYPERLINK "https://www.xueyinonline.com/detail/237144935"</w:instrText>
            </w:r>
            <w:r>
              <w:fldChar w:fldCharType="separate"/>
            </w:r>
            <w:r>
              <w:rPr>
                <w:rStyle w:val="9"/>
                <w:rFonts w:cs="仿宋_GB2312" w:asciiTheme="minorEastAsia" w:hAnsiTheme="minorEastAsia"/>
                <w:kern w:val="0"/>
                <w:sz w:val="24"/>
                <w:szCs w:val="24"/>
              </w:rPr>
              <w:t>https://www.xueyinonline.com/detail/237144935</w:t>
            </w:r>
            <w:r>
              <w:rPr>
                <w:rStyle w:val="9"/>
                <w:rFonts w:cs="仿宋_GB2312" w:asciiTheme="minorEastAsia" w:hAnsiTheme="minorEastAsia"/>
                <w:kern w:val="0"/>
                <w:sz w:val="24"/>
                <w:szCs w:val="24"/>
              </w:rPr>
              <w:fldChar w:fldCharType="end"/>
            </w:r>
            <w:r>
              <w:rPr>
                <w:rFonts w:hint="eastAsia" w:cs="仿宋_GB2312" w:asciiTheme="minorEastAsia" w:hAnsiTheme="minorEastAsia"/>
                <w:kern w:val="0"/>
                <w:sz w:val="24"/>
                <w:szCs w:val="24"/>
              </w:rPr>
              <w:t>。</w:t>
            </w:r>
          </w:p>
          <w:p>
            <w:pPr>
              <w:spacing w:line="360" w:lineRule="auto"/>
              <w:ind w:firstLine="480" w:firstLineChars="200"/>
              <w:jc w:val="left"/>
              <w:rPr>
                <w:rFonts w:cs="仿宋_GB2312" w:asciiTheme="minorEastAsia" w:hAnsiTheme="minorEastAsia"/>
                <w:kern w:val="0"/>
                <w:sz w:val="24"/>
                <w:szCs w:val="24"/>
              </w:rPr>
            </w:pPr>
            <w:r>
              <w:rPr>
                <w:rFonts w:cs="仿宋_GB2312" w:asciiTheme="minorEastAsia" w:hAnsiTheme="minorEastAsia"/>
                <w:kern w:val="0"/>
                <w:sz w:val="24"/>
                <w:szCs w:val="24"/>
              </w:rPr>
              <w:t>3</w:t>
            </w:r>
            <w:r>
              <w:rPr>
                <w:rFonts w:hint="eastAsia" w:cs="仿宋_GB2312" w:asciiTheme="minorEastAsia" w:hAnsiTheme="minorEastAsia"/>
                <w:kern w:val="0"/>
                <w:sz w:val="24"/>
                <w:szCs w:val="24"/>
              </w:rPr>
              <w:t>）</w:t>
            </w:r>
            <w:r>
              <w:rPr>
                <w:rFonts w:cs="仿宋_GB2312" w:asciiTheme="minorEastAsia" w:hAnsiTheme="minorEastAsia"/>
                <w:kern w:val="0"/>
                <w:sz w:val="24"/>
                <w:szCs w:val="24"/>
              </w:rPr>
              <w:t>针对</w:t>
            </w:r>
            <w:r>
              <w:rPr>
                <w:rFonts w:hint="eastAsia" w:cs="仿宋_GB2312" w:asciiTheme="minorEastAsia" w:hAnsiTheme="minorEastAsia"/>
                <w:kern w:val="0"/>
                <w:sz w:val="24"/>
                <w:szCs w:val="24"/>
              </w:rPr>
              <w:t>我校</w:t>
            </w:r>
            <w:r>
              <w:rPr>
                <w:rFonts w:cs="仿宋_GB2312" w:asciiTheme="minorEastAsia" w:hAnsiTheme="minorEastAsia"/>
                <w:kern w:val="0"/>
                <w:sz w:val="24"/>
                <w:szCs w:val="24"/>
              </w:rPr>
              <w:t>工业设计</w:t>
            </w:r>
            <w:r>
              <w:rPr>
                <w:rFonts w:hint="eastAsia" w:cs="仿宋_GB2312" w:asciiTheme="minorEastAsia" w:hAnsiTheme="minorEastAsia"/>
                <w:kern w:val="0"/>
                <w:sz w:val="24"/>
                <w:szCs w:val="24"/>
              </w:rPr>
              <w:t>专业的特色需求在中国大学M</w:t>
            </w:r>
            <w:r>
              <w:rPr>
                <w:rFonts w:cs="仿宋_GB2312" w:asciiTheme="minorEastAsia" w:hAnsiTheme="minorEastAsia"/>
                <w:kern w:val="0"/>
                <w:sz w:val="24"/>
                <w:szCs w:val="24"/>
              </w:rPr>
              <w:t>OOC</w:t>
            </w:r>
            <w:r>
              <w:rPr>
                <w:rFonts w:hint="eastAsia" w:cs="仿宋_GB2312" w:asciiTheme="minorEastAsia" w:hAnsiTheme="minorEastAsia"/>
                <w:kern w:val="0"/>
                <w:sz w:val="24"/>
                <w:szCs w:val="24"/>
              </w:rPr>
              <w:t>平台建设了四川轻化工大学（人机工程学S</w:t>
            </w:r>
            <w:r>
              <w:rPr>
                <w:rFonts w:cs="仿宋_GB2312" w:asciiTheme="minorEastAsia" w:hAnsiTheme="minorEastAsia"/>
                <w:kern w:val="0"/>
                <w:sz w:val="24"/>
                <w:szCs w:val="24"/>
              </w:rPr>
              <w:t>POC</w:t>
            </w:r>
            <w:r>
              <w:rPr>
                <w:rFonts w:hint="eastAsia" w:cs="仿宋_GB2312" w:asciiTheme="minorEastAsia" w:hAnsiTheme="minorEastAsia"/>
                <w:kern w:val="0"/>
                <w:sz w:val="24"/>
                <w:szCs w:val="24"/>
              </w:rPr>
              <w:t>）课程）。目前已经开课四期（工设2</w:t>
            </w:r>
            <w:r>
              <w:rPr>
                <w:rFonts w:cs="仿宋_GB2312" w:asciiTheme="minorEastAsia" w:hAnsiTheme="minorEastAsia"/>
                <w:kern w:val="0"/>
                <w:sz w:val="24"/>
                <w:szCs w:val="24"/>
              </w:rPr>
              <w:t>0</w:t>
            </w:r>
            <w:r>
              <w:rPr>
                <w:rFonts w:hint="eastAsia" w:cs="仿宋_GB2312" w:asciiTheme="minorEastAsia" w:hAnsiTheme="minorEastAsia"/>
                <w:kern w:val="0"/>
                <w:sz w:val="24"/>
                <w:szCs w:val="24"/>
              </w:rPr>
              <w:t>1</w:t>
            </w:r>
            <w:r>
              <w:rPr>
                <w:rFonts w:cs="仿宋_GB2312" w:asciiTheme="minorEastAsia" w:hAnsiTheme="minorEastAsia"/>
                <w:kern w:val="0"/>
                <w:sz w:val="24"/>
                <w:szCs w:val="24"/>
              </w:rPr>
              <w:t>8-2021</w:t>
            </w:r>
            <w:r>
              <w:rPr>
                <w:rFonts w:hint="eastAsia" w:cs="仿宋_GB2312" w:asciiTheme="minorEastAsia" w:hAnsiTheme="minorEastAsia"/>
                <w:kern w:val="0"/>
                <w:sz w:val="24"/>
                <w:szCs w:val="24"/>
              </w:rPr>
              <w:t xml:space="preserve">级）。课程链接：张玲玉  </w:t>
            </w:r>
            <w:r>
              <w:fldChar w:fldCharType="begin"/>
            </w:r>
            <w:r>
              <w:instrText xml:space="preserve"> HYPERLINK "https://www.icourse163.org/collegeAdmin/teacherPanel.htm" \l "/agt" </w:instrText>
            </w:r>
            <w:r>
              <w:fldChar w:fldCharType="separate"/>
            </w:r>
            <w:r>
              <w:rPr>
                <w:rFonts w:asciiTheme="minorEastAsia" w:hAnsiTheme="minorEastAsia"/>
                <w:color w:val="0000FF"/>
                <w:sz w:val="24"/>
                <w:szCs w:val="24"/>
                <w:u w:val="single"/>
              </w:rPr>
              <w:t>课程管理_中国大学MOOC(慕课)(icourse163.org)</w:t>
            </w:r>
            <w:r>
              <w:rPr>
                <w:rFonts w:asciiTheme="minorEastAsia" w:hAnsiTheme="minorEastAsia"/>
                <w:color w:val="0000FF"/>
                <w:sz w:val="24"/>
                <w:szCs w:val="24"/>
                <w:u w:val="single"/>
              </w:rPr>
              <w:fldChar w:fldCharType="end"/>
            </w:r>
            <w:r>
              <w:rPr>
                <w:rFonts w:hint="eastAsia" w:cs="仿宋_GB2312" w:asciiTheme="minorEastAsia" w:hAnsiTheme="minorEastAsia"/>
                <w:kern w:val="0"/>
                <w:sz w:val="24"/>
                <w:szCs w:val="24"/>
              </w:rPr>
              <w:t>。</w:t>
            </w:r>
          </w:p>
          <w:p>
            <w:pPr>
              <w:spacing w:line="360" w:lineRule="auto"/>
              <w:ind w:firstLine="241" w:firstLineChars="100"/>
              <w:jc w:val="left"/>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（2）线下资源</w:t>
            </w:r>
          </w:p>
          <w:p>
            <w:pPr>
              <w:spacing w:line="360" w:lineRule="auto"/>
              <w:ind w:firstLine="480" w:firstLineChars="200"/>
              <w:jc w:val="left"/>
              <w:rPr>
                <w:rFonts w:cs="仿宋_GB2312" w:asciiTheme="minorEastAsia" w:hAnsiTheme="minorEastAsia"/>
                <w:kern w:val="0"/>
                <w:sz w:val="24"/>
                <w:szCs w:val="24"/>
              </w:rPr>
            </w:pPr>
            <w:r>
              <w:rPr>
                <w:rFonts w:cs="仿宋_GB2312" w:asciiTheme="minorEastAsia" w:hAnsiTheme="minorEastAsia"/>
                <w:kern w:val="0"/>
                <w:sz w:val="24"/>
                <w:szCs w:val="24"/>
              </w:rPr>
              <w:t>1</w:t>
            </w:r>
            <w:r>
              <w:rPr>
                <w:rFonts w:hint="eastAsia" w:cs="仿宋_GB2312" w:asciiTheme="minorEastAsia" w:hAnsiTheme="minorEastAsia"/>
                <w:kern w:val="0"/>
                <w:sz w:val="24"/>
                <w:szCs w:val="24"/>
              </w:rPr>
              <w:t>）针对小班教学，建设和完善专业智慧教室、学生创新设计工作室，人机工程学基础实验室、用户体验实验室、3D打印设备和模型制作实验室等硬件教学资源，更好地服务于线下课程教学。</w:t>
            </w:r>
          </w:p>
          <w:p>
            <w:pPr>
              <w:spacing w:line="360" w:lineRule="auto"/>
              <w:ind w:firstLine="480" w:firstLineChars="200"/>
              <w:jc w:val="left"/>
              <w:rPr>
                <w:rFonts w:cs="仿宋_GB2312" w:asciiTheme="minorEastAsia" w:hAnsiTheme="minorEastAsia"/>
                <w:kern w:val="0"/>
                <w:sz w:val="24"/>
                <w:szCs w:val="24"/>
              </w:rPr>
            </w:pPr>
            <w:r>
              <w:rPr>
                <w:rFonts w:hint="eastAsia" w:cs="仿宋_GB2312" w:asciiTheme="minorEastAsia" w:hAnsiTheme="minorEastAsia"/>
                <w:kern w:val="0"/>
                <w:sz w:val="24"/>
                <w:szCs w:val="24"/>
              </w:rPr>
              <w:t>2）校企合作资源。</w:t>
            </w:r>
            <w:r>
              <w:rPr>
                <w:rFonts w:hint="eastAsia" w:asciiTheme="minorEastAsia" w:hAnsiTheme="minorEastAsia"/>
                <w:sz w:val="24"/>
                <w:szCs w:val="24"/>
              </w:rPr>
              <w:t>通过企业专家和学校教师互聘，</w:t>
            </w:r>
            <w:r>
              <w:rPr>
                <w:rFonts w:hint="eastAsia" w:cs="仿宋_GB2312" w:asciiTheme="minorEastAsia" w:hAnsiTheme="minorEastAsia"/>
                <w:kern w:val="0"/>
                <w:sz w:val="24"/>
                <w:szCs w:val="24"/>
              </w:rPr>
              <w:t>和在地企业</w:t>
            </w:r>
            <w:r>
              <w:rPr>
                <w:rFonts w:hint="eastAsia" w:asciiTheme="minorEastAsia" w:hAnsiTheme="minorEastAsia"/>
                <w:sz w:val="24"/>
                <w:szCs w:val="24"/>
              </w:rPr>
              <w:t>联合共建课程、教学团队和工业设计研究中心。</w:t>
            </w:r>
          </w:p>
          <w:p>
            <w:pPr>
              <w:spacing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（五）教学方法改革</w:t>
            </w:r>
          </w:p>
          <w:p>
            <w:pPr>
              <w:spacing w:line="360" w:lineRule="auto"/>
              <w:ind w:firstLine="480" w:firstLineChars="200"/>
              <w:jc w:val="left"/>
              <w:rPr>
                <w:rFonts w:asciiTheme="minorEastAsia" w:hAnsiTheme="minorEastAsia"/>
                <w:sz w:val="24"/>
                <w:szCs w:val="24"/>
              </w:rPr>
            </w:pPr>
            <w:r>
              <w:rPr>
                <w:rFonts w:hint="eastAsia" w:asciiTheme="minorEastAsia" w:hAnsiTheme="minorEastAsia"/>
                <w:sz w:val="24"/>
                <w:szCs w:val="24"/>
              </w:rPr>
              <w:t>教学改革围绕着“学生中心、产出导向”的教学理念。通过线上线下混合式教学改革激发学生学习的主动性和有效性。线上教学，学生自由安排时间在中国MOOC（人机工程学SPOC）平台完成理论知识点的学习，线下课堂不重复讲授理论知识。线下课堂教学执行小班制，采用人机案例分享、学生作品展演-教师评析、讨论探究式等教学方法；课后采用工作室-项目驱动式教学，学生完成企业需求项目和学科竞赛项目，教师持续跟进指导，锻炼学生创新设计实战能力。通过线上自主学习和线下多元互动式学习相结合，显著提升学习效果，力求让学生“会学能思勤设计”，享受学习和设计的过程。</w:t>
            </w:r>
          </w:p>
          <w:p>
            <w:pPr>
              <w:spacing w:line="360" w:lineRule="auto"/>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（六）课程教学内容及组织实施情况</w:t>
            </w:r>
          </w:p>
          <w:p>
            <w:pPr>
              <w:spacing w:line="360" w:lineRule="auto"/>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教学内容</w:t>
            </w:r>
          </w:p>
          <w:p>
            <w:pPr>
              <w:spacing w:line="360" w:lineRule="auto"/>
              <w:ind w:firstLine="480" w:firstLineChars="200"/>
              <w:jc w:val="left"/>
              <w:rPr>
                <w:rFonts w:asciiTheme="minorEastAsia" w:hAnsiTheme="minorEastAsia"/>
                <w:sz w:val="24"/>
                <w:szCs w:val="24"/>
              </w:rPr>
            </w:pPr>
            <w:r>
              <w:rPr>
                <w:rFonts w:hint="eastAsia" w:asciiTheme="minorEastAsia" w:hAnsiTheme="minorEastAsia"/>
                <w:sz w:val="24"/>
                <w:szCs w:val="24"/>
              </w:rPr>
              <w:t>针对工业设计专业的专业属性组织教学内容，内容安排融理论知识学习、能力培养、素质教育于一体，同时体现人机工程学科、工业设计学科发展的前沿性理论与方法。基础理论部分包括人的生理和心理特征和数据，应用部分包括人机信息交流界面、工作环境、工作台椅、家居产品、工具、包装及智能装备等产品的人机要素进行系统设计。实践教学内容包括人机基础实验、人机案例、企业真题和学科竞赛项目实训等。具体内容如图3。</w:t>
            </w:r>
          </w:p>
          <w:p>
            <w:pPr>
              <w:spacing w:line="360" w:lineRule="auto"/>
              <w:rPr>
                <w:rFonts w:ascii="仿宋_GB2312" w:hAnsi="仿宋_GB2312" w:eastAsia="仿宋_GB2312" w:cs="仿宋_GB2312"/>
                <w:b/>
                <w:bCs/>
                <w:kern w:val="0"/>
                <w:sz w:val="24"/>
                <w:szCs w:val="24"/>
              </w:rPr>
            </w:pPr>
            <w:r>
              <w:drawing>
                <wp:anchor distT="0" distB="0" distL="114300" distR="114300" simplePos="0" relativeHeight="251662336" behindDoc="1" locked="0" layoutInCell="1" allowOverlap="1">
                  <wp:simplePos x="0" y="0"/>
                  <wp:positionH relativeFrom="column">
                    <wp:posOffset>947420</wp:posOffset>
                  </wp:positionH>
                  <wp:positionV relativeFrom="paragraph">
                    <wp:posOffset>78105</wp:posOffset>
                  </wp:positionV>
                  <wp:extent cx="3704590" cy="5546725"/>
                  <wp:effectExtent l="0" t="0" r="0" b="0"/>
                  <wp:wrapTight wrapText="bothSides">
                    <wp:wrapPolygon>
                      <wp:start x="0" y="0"/>
                      <wp:lineTo x="0" y="21513"/>
                      <wp:lineTo x="21437" y="21513"/>
                      <wp:lineTo x="21437" y="0"/>
                      <wp:lineTo x="0" y="0"/>
                    </wp:wrapPolygon>
                  </wp:wrapTight>
                  <wp:docPr id="11807002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0299"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04590" cy="5546725"/>
                          </a:xfrm>
                          <a:prstGeom prst="rect">
                            <a:avLst/>
                          </a:prstGeom>
                        </pic:spPr>
                      </pic:pic>
                    </a:graphicData>
                  </a:graphic>
                </wp:anchor>
              </w:drawing>
            </w: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rPr>
                <w:rFonts w:ascii="仿宋_GB2312" w:hAnsi="仿宋_GB2312" w:eastAsia="仿宋_GB2312" w:cs="仿宋_GB2312"/>
                <w:b/>
                <w:bCs/>
                <w:kern w:val="0"/>
                <w:sz w:val="24"/>
                <w:szCs w:val="24"/>
              </w:rPr>
            </w:pPr>
          </w:p>
          <w:p>
            <w:pPr>
              <w:spacing w:line="360" w:lineRule="auto"/>
              <w:jc w:val="center"/>
              <w:rPr>
                <w:rFonts w:ascii="仿宋_GB2312" w:hAnsi="仿宋_GB2312" w:eastAsia="仿宋_GB2312" w:cs="仿宋_GB2312"/>
                <w:b/>
                <w:bCs/>
                <w:kern w:val="0"/>
                <w:sz w:val="24"/>
                <w:szCs w:val="24"/>
              </w:rPr>
            </w:pPr>
            <w:r>
              <w:rPr>
                <w:rFonts w:hint="eastAsia" w:ascii="仿宋_GB2312" w:hAnsi="仿宋_GB2312" w:eastAsia="仿宋_GB2312" w:cs="仿宋_GB2312"/>
                <w:kern w:val="0"/>
                <w:szCs w:val="21"/>
              </w:rPr>
              <w:t>图</w:t>
            </w:r>
            <w:r>
              <w:rPr>
                <w:rFonts w:ascii="仿宋_GB2312" w:hAnsi="仿宋_GB2312" w:eastAsia="仿宋_GB2312" w:cs="仿宋_GB2312"/>
                <w:kern w:val="0"/>
                <w:szCs w:val="21"/>
              </w:rPr>
              <w:t xml:space="preserve">2 </w:t>
            </w:r>
            <w:r>
              <w:rPr>
                <w:rFonts w:hint="eastAsia" w:ascii="仿宋_GB2312" w:hAnsi="仿宋_GB2312" w:eastAsia="仿宋_GB2312" w:cs="仿宋_GB2312"/>
                <w:kern w:val="0"/>
                <w:szCs w:val="21"/>
              </w:rPr>
              <w:t>教学内容</w:t>
            </w:r>
          </w:p>
          <w:p>
            <w:pPr>
              <w:pStyle w:val="10"/>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rPr>
              <w:t>组织实施情况</w:t>
            </w:r>
          </w:p>
          <w:p>
            <w:pPr>
              <w:spacing w:line="360" w:lineRule="auto"/>
              <w:ind w:firstLine="420"/>
              <w:rPr>
                <w:rFonts w:asciiTheme="minorEastAsia" w:hAnsiTheme="minorEastAsia"/>
                <w:sz w:val="24"/>
                <w:szCs w:val="24"/>
              </w:rPr>
            </w:pPr>
            <w:r>
              <w:rPr>
                <w:rFonts w:hint="eastAsia" w:asciiTheme="minorEastAsia" w:hAnsiTheme="minorEastAsia"/>
                <w:sz w:val="24"/>
                <w:szCs w:val="24"/>
              </w:rPr>
              <w:t>人机工程学理论课学时为48学时，线上24学时（占50%），线下24学时（占50%），实验课16学时，线下16学时（100%）。线下小班制教学，理论课程和实验课程学分及考核独立。</w:t>
            </w:r>
          </w:p>
          <w:p>
            <w:pPr>
              <w:spacing w:line="360" w:lineRule="auto"/>
              <w:ind w:firstLine="241" w:firstLineChars="100"/>
              <w:rPr>
                <w:rFonts w:asciiTheme="minorEastAsia" w:hAnsiTheme="minorEastAsia"/>
                <w:b/>
                <w:bCs/>
                <w:sz w:val="24"/>
                <w:szCs w:val="24"/>
              </w:rPr>
            </w:pPr>
            <w:r>
              <w:rPr>
                <w:rFonts w:hint="eastAsia" w:asciiTheme="minorEastAsia" w:hAnsiTheme="minorEastAsia"/>
                <w:b/>
                <w:bCs/>
                <w:sz w:val="24"/>
                <w:szCs w:val="24"/>
              </w:rPr>
              <w:t>（1）线上教学</w:t>
            </w:r>
          </w:p>
          <w:p>
            <w:pPr>
              <w:spacing w:line="360" w:lineRule="auto"/>
              <w:ind w:firstLine="420"/>
              <w:rPr>
                <w:rFonts w:asciiTheme="minorEastAsia" w:hAnsiTheme="minorEastAsia"/>
                <w:sz w:val="24"/>
                <w:szCs w:val="24"/>
              </w:rPr>
            </w:pPr>
            <w:r>
              <w:rPr>
                <w:rFonts w:hint="eastAsia" w:asciiTheme="minorEastAsia" w:hAnsiTheme="minorEastAsia"/>
                <w:sz w:val="24"/>
                <w:szCs w:val="24"/>
              </w:rPr>
              <w:t>课前，校内教师发布学习任务，组织学生线上完成理论知识点的学习。学生需完成线上学习任务点，包括观看教学视频、完成</w:t>
            </w:r>
            <w:bookmarkStart w:id="4" w:name="_Hlk142853201"/>
            <w:r>
              <w:rPr>
                <w:rFonts w:hint="eastAsia" w:asciiTheme="minorEastAsia" w:hAnsiTheme="minorEastAsia"/>
                <w:sz w:val="24"/>
                <w:szCs w:val="24"/>
              </w:rPr>
              <w:t>章节测试和每章的作业</w:t>
            </w:r>
            <w:bookmarkEnd w:id="4"/>
            <w:r>
              <w:rPr>
                <w:rFonts w:hint="eastAsia" w:asciiTheme="minorEastAsia" w:hAnsiTheme="minorEastAsia"/>
                <w:sz w:val="24"/>
                <w:szCs w:val="24"/>
              </w:rPr>
              <w:t>及考试，参与教师和学生发布的主题讨论。教师对学生的学习进度及动态及时关注，对于学生的问题和讨论意见及时回复，对于作业和章节测试错误率高的打回重做，对学习异常的情况、综合成绩较低的学生及时督促提醒。</w:t>
            </w:r>
          </w:p>
          <w:p>
            <w:pPr>
              <w:spacing w:line="360" w:lineRule="auto"/>
              <w:ind w:firstLine="241" w:firstLineChars="100"/>
              <w:rPr>
                <w:rFonts w:asciiTheme="minorEastAsia" w:hAnsiTheme="minorEastAsia"/>
                <w:b/>
                <w:bCs/>
                <w:sz w:val="24"/>
                <w:szCs w:val="24"/>
              </w:rPr>
            </w:pPr>
            <w:r>
              <w:rPr>
                <w:rFonts w:hint="eastAsia" w:asciiTheme="minorEastAsia" w:hAnsiTheme="minorEastAsia"/>
                <w:b/>
                <w:bCs/>
                <w:sz w:val="24"/>
                <w:szCs w:val="24"/>
              </w:rPr>
              <w:t>（2）线下教学</w:t>
            </w:r>
          </w:p>
          <w:p>
            <w:pPr>
              <w:spacing w:line="360" w:lineRule="auto"/>
              <w:ind w:firstLine="480" w:firstLineChars="200"/>
              <w:rPr>
                <w:rFonts w:asciiTheme="minorEastAsia" w:hAnsiTheme="minorEastAsia"/>
                <w:szCs w:val="21"/>
              </w:rPr>
            </w:pPr>
            <w:r>
              <w:rPr>
                <w:rFonts w:hint="eastAsia" w:asciiTheme="minorEastAsia" w:hAnsiTheme="minorEastAsia"/>
                <w:sz w:val="24"/>
                <w:szCs w:val="24"/>
              </w:rPr>
              <w:t>1）线下课堂教学在智慧教室进行，小班制。校内教师需要在课前设计好线下课堂教学内容。在课中，第一是对碎片化的知识点进行串联和系统深入梳理；第二是采用案例教学法，引入典型的人机案例，鼓励学生积极参与案例讨论。第三是结合产学研合作共建课程的企业的需求，安排真题真做的设计训练项目，设计课题课前布置给学生并规划好设计进度，学生利用课外时间进行设计，教师跟进设计进度和效果，有计划地安排学生在线下课堂汇报和展示自己的设计进度和成果，教师进行有针对评析，设计产品经过不断进化完善，最终提交完整的设计方案，择优交付合作企业，好的设计创意和方案合作方会转化为生产落地的产品并销售。</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企业教师在定期开展专题及企业真实案例的讲座，组织和指导学生企业参观实习、参与企业需求项目阶段性评审和答辩等。如五粮液白酒包装、文创及美学家居产品、美陈灯具及智能装备设计等。团队教师在课后持续指导学生全流程设计项目完成。优秀学生获得得到企业实习和工作的机会，优秀的作品可以参加学科竞赛。这种“研学结合-产教融合”的项目实训，提高了线下课堂的难度与创新性，可以培养学生和市场需求对接的设计思维和能力，达到综合训练的目的。</w:t>
            </w:r>
          </w:p>
          <w:p>
            <w:pPr>
              <w:spacing w:line="360" w:lineRule="auto"/>
              <w:ind w:firstLine="480"/>
              <w:rPr>
                <w:rFonts w:asciiTheme="minorEastAsia" w:hAnsiTheme="minorEastAsia"/>
                <w:sz w:val="24"/>
                <w:szCs w:val="24"/>
              </w:rPr>
            </w:pPr>
            <w:bookmarkStart w:id="5" w:name="_Hlk142856226"/>
            <w:r>
              <w:rPr>
                <w:rFonts w:hint="eastAsia" w:asciiTheme="minorEastAsia" w:hAnsiTheme="minorEastAsia"/>
                <w:sz w:val="24"/>
                <w:szCs w:val="24"/>
              </w:rPr>
              <w:t>3）实验教学。在人机工程学实验室进行，由任课教师负责实验的讲解和指导。学生自己设计适当的实验流程和方法完成相关生理和心理能力参数的测试和测量，并对实验采集的数据进行分析处理，形成实验报告。</w:t>
            </w:r>
            <w:r>
              <w:rPr>
                <w:rFonts w:asciiTheme="minorEastAsia" w:hAnsiTheme="minorEastAsia"/>
                <w:sz w:val="24"/>
                <w:szCs w:val="24"/>
              </w:rPr>
              <w:t xml:space="preserve"> </w:t>
            </w:r>
            <w:r>
              <w:rPr>
                <w:rFonts w:hint="eastAsia" w:asciiTheme="minorEastAsia" w:hAnsiTheme="minorEastAsia"/>
                <w:sz w:val="24"/>
                <w:szCs w:val="24"/>
              </w:rPr>
              <w:t>用户体验、模型制作等实验室和创新工作室长期对学生开放，形成课后教师和学生线下交流的顺畅通道。</w:t>
            </w:r>
          </w:p>
          <w:bookmarkEnd w:id="5"/>
          <w:p>
            <w:pPr>
              <w:spacing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（七）课程成绩评定方式</w:t>
            </w:r>
          </w:p>
          <w:p>
            <w:pPr>
              <w:spacing w:line="360" w:lineRule="auto"/>
              <w:ind w:firstLine="480"/>
              <w:rPr>
                <w:rFonts w:asciiTheme="minorEastAsia" w:hAnsiTheme="minorEastAsia"/>
                <w:sz w:val="24"/>
                <w:szCs w:val="24"/>
              </w:rPr>
            </w:pPr>
            <w:r>
              <w:rPr>
                <w:rFonts w:hint="eastAsia" w:asciiTheme="minorEastAsia" w:hAnsiTheme="minorEastAsia"/>
                <w:sz w:val="24"/>
                <w:szCs w:val="24"/>
              </w:rPr>
              <w:t>工业设计学生学习人机工程学的最终目标是应用，学习效果更多通过创新设计成果体现。成绩考核方式减少期末考试成绩占比，采用形成性评价机制和方法，多元化考核，采用学生线上自主学习、作业和测试成绩加参加线下教学活动的评价进行综合性考核。</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理论课和实验课程分开独立进行成绩评定。</w:t>
            </w:r>
          </w:p>
          <w:p>
            <w:pPr>
              <w:pStyle w:val="10"/>
              <w:spacing w:line="360" w:lineRule="auto"/>
              <w:ind w:left="360" w:firstLine="0" w:firstLineChars="0"/>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理论课成绩评定</w:t>
            </w:r>
          </w:p>
          <w:p>
            <w:pPr>
              <w:spacing w:line="360" w:lineRule="auto"/>
              <w:ind w:left="480"/>
              <w:rPr>
                <w:rFonts w:asciiTheme="minorEastAsia" w:hAnsiTheme="minorEastAsia"/>
                <w:sz w:val="24"/>
                <w:szCs w:val="24"/>
              </w:rPr>
            </w:pPr>
            <w:r>
              <w:rPr>
                <w:rFonts w:hint="eastAsia" w:asciiTheme="minorEastAsia" w:hAnsiTheme="minorEastAsia"/>
                <w:sz w:val="24"/>
                <w:szCs w:val="24"/>
              </w:rPr>
              <w:t>课程考核成绩=线上综合成绩（</w:t>
            </w:r>
            <w:r>
              <w:rPr>
                <w:rFonts w:asciiTheme="minorEastAsia" w:hAnsiTheme="minorEastAsia"/>
                <w:sz w:val="24"/>
                <w:szCs w:val="24"/>
              </w:rPr>
              <w:t>4</w:t>
            </w:r>
            <w:r>
              <w:rPr>
                <w:rFonts w:hint="eastAsia" w:asciiTheme="minorEastAsia" w:hAnsiTheme="minorEastAsia"/>
                <w:sz w:val="24"/>
                <w:szCs w:val="24"/>
              </w:rPr>
              <w:t>0%）+线下综合成绩（</w:t>
            </w:r>
            <w:r>
              <w:rPr>
                <w:rFonts w:asciiTheme="minorEastAsia" w:hAnsiTheme="minorEastAsia"/>
                <w:sz w:val="24"/>
                <w:szCs w:val="24"/>
              </w:rPr>
              <w:t>35</w:t>
            </w:r>
            <w:r>
              <w:rPr>
                <w:rFonts w:hint="eastAsia" w:asciiTheme="minorEastAsia" w:hAnsiTheme="minorEastAsia"/>
                <w:sz w:val="24"/>
                <w:szCs w:val="24"/>
              </w:rPr>
              <w:t>%）+期末考试2</w:t>
            </w:r>
            <w:r>
              <w:rPr>
                <w:rFonts w:asciiTheme="minorEastAsia" w:hAnsiTheme="minorEastAsia"/>
                <w:sz w:val="24"/>
                <w:szCs w:val="24"/>
              </w:rPr>
              <w:t>5%</w:t>
            </w:r>
            <w:r>
              <w:rPr>
                <w:rFonts w:hint="eastAsia" w:asciiTheme="minorEastAsia" w:hAnsiTheme="minorEastAsia"/>
                <w:sz w:val="24"/>
                <w:szCs w:val="24"/>
              </w:rPr>
              <w:t>。</w:t>
            </w:r>
          </w:p>
          <w:p>
            <w:pPr>
              <w:pStyle w:val="10"/>
              <w:spacing w:line="360" w:lineRule="auto"/>
              <w:ind w:left="1200" w:firstLine="0" w:firstLineChars="0"/>
              <w:rPr>
                <w:rFonts w:asciiTheme="minorEastAsia" w:hAnsiTheme="minorEastAsia"/>
                <w:sz w:val="24"/>
                <w:szCs w:val="24"/>
              </w:rPr>
            </w:pPr>
            <w:r>
              <w:drawing>
                <wp:anchor distT="0" distB="0" distL="114300" distR="114300" simplePos="0" relativeHeight="251661312" behindDoc="1" locked="0" layoutInCell="1" allowOverlap="1">
                  <wp:simplePos x="0" y="0"/>
                  <wp:positionH relativeFrom="column">
                    <wp:posOffset>653415</wp:posOffset>
                  </wp:positionH>
                  <wp:positionV relativeFrom="paragraph">
                    <wp:posOffset>12700</wp:posOffset>
                  </wp:positionV>
                  <wp:extent cx="3911600" cy="2583815"/>
                  <wp:effectExtent l="0" t="0" r="0" b="0"/>
                  <wp:wrapTight wrapText="bothSides">
                    <wp:wrapPolygon>
                      <wp:start x="0" y="0"/>
                      <wp:lineTo x="0" y="21499"/>
                      <wp:lineTo x="21565" y="21499"/>
                      <wp:lineTo x="21565" y="0"/>
                      <wp:lineTo x="0" y="0"/>
                    </wp:wrapPolygon>
                  </wp:wrapTight>
                  <wp:docPr id="164661108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360" w:lineRule="auto"/>
              <w:ind w:left="480"/>
              <w:rPr>
                <w:rFonts w:asciiTheme="minorEastAsia" w:hAnsiTheme="minorEastAsia"/>
                <w:sz w:val="24"/>
                <w:szCs w:val="24"/>
              </w:rPr>
            </w:pPr>
            <w:bookmarkStart w:id="6" w:name="_Hlk142856496"/>
          </w:p>
          <w:p>
            <w:pPr>
              <w:spacing w:line="360" w:lineRule="auto"/>
              <w:ind w:left="480"/>
              <w:rPr>
                <w:rFonts w:asciiTheme="minorEastAsia" w:hAnsiTheme="minorEastAsia"/>
                <w:sz w:val="24"/>
                <w:szCs w:val="24"/>
              </w:rPr>
            </w:pPr>
          </w:p>
          <w:p>
            <w:pPr>
              <w:spacing w:line="360" w:lineRule="auto"/>
              <w:ind w:left="480"/>
              <w:rPr>
                <w:rFonts w:asciiTheme="minorEastAsia" w:hAnsiTheme="minorEastAsia"/>
                <w:sz w:val="24"/>
                <w:szCs w:val="24"/>
              </w:rPr>
            </w:pPr>
          </w:p>
          <w:p>
            <w:pPr>
              <w:spacing w:line="360" w:lineRule="auto"/>
              <w:ind w:left="480"/>
              <w:rPr>
                <w:rFonts w:asciiTheme="minorEastAsia" w:hAnsiTheme="minorEastAsia"/>
                <w:sz w:val="24"/>
                <w:szCs w:val="24"/>
              </w:rPr>
            </w:pPr>
          </w:p>
          <w:p>
            <w:pPr>
              <w:spacing w:line="360" w:lineRule="auto"/>
              <w:ind w:left="480"/>
              <w:rPr>
                <w:rFonts w:asciiTheme="minorEastAsia" w:hAnsiTheme="minorEastAsia"/>
                <w:sz w:val="24"/>
                <w:szCs w:val="24"/>
              </w:rPr>
            </w:pPr>
          </w:p>
          <w:p>
            <w:pPr>
              <w:spacing w:line="360" w:lineRule="auto"/>
              <w:ind w:left="480"/>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r>
              <w:rPr>
                <w:rFonts w:hint="eastAsia" w:asciiTheme="minorEastAsia" w:hAnsiTheme="minorEastAsia"/>
                <w:sz w:val="24"/>
                <w:szCs w:val="24"/>
              </w:rPr>
              <w:t>线上综合成绩=视频学习（</w:t>
            </w:r>
            <w:r>
              <w:rPr>
                <w:rFonts w:asciiTheme="minorEastAsia" w:hAnsiTheme="minorEastAsia"/>
                <w:sz w:val="24"/>
                <w:szCs w:val="24"/>
              </w:rPr>
              <w:t>2</w:t>
            </w:r>
            <w:r>
              <w:rPr>
                <w:rFonts w:hint="eastAsia" w:asciiTheme="minorEastAsia" w:hAnsiTheme="minorEastAsia"/>
                <w:sz w:val="24"/>
                <w:szCs w:val="24"/>
              </w:rPr>
              <w:t>0%）+章节测验（2</w:t>
            </w:r>
            <w:r>
              <w:rPr>
                <w:rFonts w:asciiTheme="minorEastAsia" w:hAnsiTheme="minorEastAsia"/>
                <w:sz w:val="24"/>
                <w:szCs w:val="24"/>
              </w:rPr>
              <w:t>5</w:t>
            </w:r>
            <w:r>
              <w:rPr>
                <w:rFonts w:hint="eastAsia" w:asciiTheme="minorEastAsia" w:hAnsiTheme="minorEastAsia"/>
                <w:sz w:val="24"/>
                <w:szCs w:val="24"/>
              </w:rPr>
              <w:t>%）+单元作业（25%）+互动讨论（10%）+线上期末考试（2</w:t>
            </w:r>
            <w:r>
              <w:rPr>
                <w:rFonts w:asciiTheme="minorEastAsia" w:hAnsiTheme="minorEastAsia"/>
                <w:sz w:val="24"/>
                <w:szCs w:val="24"/>
              </w:rPr>
              <w:t>0</w:t>
            </w:r>
            <w:r>
              <w:rPr>
                <w:rFonts w:hint="eastAsia" w:asciiTheme="minorEastAsia" w:hAnsiTheme="minorEastAsia"/>
                <w:sz w:val="24"/>
                <w:szCs w:val="24"/>
              </w:rPr>
              <w:t>%），该成绩由在线学习平台自动计算统计。</w:t>
            </w:r>
          </w:p>
          <w:p>
            <w:pPr>
              <w:spacing w:line="360" w:lineRule="auto"/>
              <w:ind w:firstLine="480"/>
              <w:rPr>
                <w:rFonts w:asciiTheme="minorEastAsia" w:hAnsiTheme="minorEastAsia"/>
                <w:sz w:val="24"/>
                <w:szCs w:val="24"/>
              </w:rPr>
            </w:pPr>
            <w:r>
              <w:drawing>
                <wp:anchor distT="0" distB="0" distL="114300" distR="114300" simplePos="0" relativeHeight="251662336" behindDoc="1" locked="0" layoutInCell="1" allowOverlap="1">
                  <wp:simplePos x="0" y="0"/>
                  <wp:positionH relativeFrom="column">
                    <wp:posOffset>96520</wp:posOffset>
                  </wp:positionH>
                  <wp:positionV relativeFrom="paragraph">
                    <wp:posOffset>82550</wp:posOffset>
                  </wp:positionV>
                  <wp:extent cx="4595495" cy="2583815"/>
                  <wp:effectExtent l="0" t="0" r="0" b="0"/>
                  <wp:wrapTight wrapText="bothSides">
                    <wp:wrapPolygon>
                      <wp:start x="0" y="0"/>
                      <wp:lineTo x="0" y="21499"/>
                      <wp:lineTo x="21579" y="21499"/>
                      <wp:lineTo x="21579" y="0"/>
                      <wp:lineTo x="0" y="0"/>
                    </wp:wrapPolygon>
                  </wp:wrapTight>
                  <wp:docPr id="1650103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Theme="minorEastAsia" w:hAnsiTheme="minorEastAsia"/>
                <w:sz w:val="24"/>
                <w:szCs w:val="24"/>
              </w:rPr>
              <w:t xml:space="preserve"> </w:t>
            </w:r>
            <w:r>
              <w:rPr>
                <w:rFonts w:asciiTheme="minorEastAsia" w:hAnsiTheme="minorEastAsia"/>
                <w:sz w:val="24"/>
                <w:szCs w:val="24"/>
              </w:rPr>
              <w:t xml:space="preserve"> </w:t>
            </w: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sz w:val="24"/>
                <w:szCs w:val="24"/>
              </w:rPr>
            </w:pPr>
            <w:r>
              <w:rPr>
                <w:rFonts w:hint="eastAsia" w:asciiTheme="minorEastAsia" w:hAnsiTheme="minorEastAsia"/>
                <w:sz w:val="24"/>
                <w:szCs w:val="24"/>
              </w:rPr>
              <w:t>线下综合成绩=考勤及互动（</w:t>
            </w:r>
            <w:r>
              <w:rPr>
                <w:rFonts w:asciiTheme="minorEastAsia" w:hAnsiTheme="minorEastAsia"/>
                <w:sz w:val="24"/>
                <w:szCs w:val="24"/>
              </w:rPr>
              <w:t>1</w:t>
            </w:r>
            <w:r>
              <w:rPr>
                <w:rFonts w:hint="eastAsia" w:asciiTheme="minorEastAsia" w:hAnsiTheme="minorEastAsia"/>
                <w:sz w:val="24"/>
                <w:szCs w:val="24"/>
              </w:rPr>
              <w:t>0%）+课题设计调研及创意方案（</w:t>
            </w:r>
            <w:r>
              <w:rPr>
                <w:rFonts w:asciiTheme="minorEastAsia" w:hAnsiTheme="minorEastAsia"/>
                <w:sz w:val="24"/>
                <w:szCs w:val="24"/>
              </w:rPr>
              <w:t>50</w:t>
            </w:r>
            <w:r>
              <w:rPr>
                <w:rFonts w:hint="eastAsia" w:asciiTheme="minorEastAsia" w:hAnsiTheme="minorEastAsia"/>
                <w:sz w:val="24"/>
                <w:szCs w:val="24"/>
              </w:rPr>
              <w:t>%)+课题设计最终效果（</w:t>
            </w:r>
            <w:r>
              <w:rPr>
                <w:rFonts w:asciiTheme="minorEastAsia" w:hAnsiTheme="minorEastAsia"/>
                <w:sz w:val="24"/>
                <w:szCs w:val="24"/>
              </w:rPr>
              <w:t>4</w:t>
            </w:r>
            <w:r>
              <w:rPr>
                <w:rFonts w:hint="eastAsia" w:asciiTheme="minorEastAsia" w:hAnsiTheme="minorEastAsia"/>
                <w:sz w:val="24"/>
                <w:szCs w:val="24"/>
              </w:rPr>
              <w:t>0%），该成绩由教师团队按实际考核情况给出。</w:t>
            </w:r>
          </w:p>
          <w:p>
            <w:pPr>
              <w:spacing w:line="360" w:lineRule="auto"/>
              <w:ind w:firstLine="480"/>
              <w:rPr>
                <w:rFonts w:asciiTheme="minorEastAsia" w:hAnsiTheme="minorEastAsia"/>
                <w:sz w:val="24"/>
                <w:szCs w:val="24"/>
              </w:rPr>
            </w:pPr>
            <w:r>
              <w:rPr>
                <w:rFonts w:hint="eastAsia" w:asciiTheme="minorEastAsia" w:hAnsiTheme="minorEastAsia"/>
                <w:sz w:val="24"/>
                <w:szCs w:val="24"/>
              </w:rPr>
              <w:t xml:space="preserve"> </w:t>
            </w:r>
            <w:r>
              <w:drawing>
                <wp:inline distT="0" distB="0" distL="0" distR="0">
                  <wp:extent cx="4428490" cy="2599690"/>
                  <wp:effectExtent l="0" t="0" r="10160" b="10160"/>
                  <wp:docPr id="62361049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bookmarkEnd w:id="6"/>
          <w:p>
            <w:pPr>
              <w:spacing w:line="360" w:lineRule="auto"/>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w:t>
            </w:r>
            <w:r>
              <w:rPr>
                <w:rFonts w:hint="eastAsia" w:asciiTheme="minorEastAsia" w:hAnsiTheme="minorEastAsia"/>
                <w:sz w:val="24"/>
                <w:szCs w:val="24"/>
              </w:rPr>
              <w:t>实验课成绩评定</w:t>
            </w:r>
          </w:p>
          <w:p>
            <w:pPr>
              <w:spacing w:line="360" w:lineRule="auto"/>
              <w:ind w:left="480"/>
              <w:rPr>
                <w:rFonts w:asciiTheme="minorEastAsia" w:hAnsiTheme="minorEastAsia"/>
                <w:sz w:val="24"/>
                <w:szCs w:val="24"/>
              </w:rPr>
            </w:pPr>
            <w:r>
              <w:rPr>
                <w:rFonts w:hint="eastAsia" w:asciiTheme="minorEastAsia" w:hAnsiTheme="minorEastAsia"/>
                <w:sz w:val="24"/>
                <w:szCs w:val="24"/>
              </w:rPr>
              <w:t>课程考核成绩=考勤和态度（20%）+理论和操作技能（30%）+实验报告（50%）</w:t>
            </w:r>
          </w:p>
          <w:p>
            <w:pPr>
              <w:pStyle w:val="10"/>
              <w:spacing w:line="360" w:lineRule="auto"/>
              <w:ind w:left="360" w:firstLine="0" w:firstLineChars="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 xml:space="preserve"> </w:t>
            </w:r>
            <w:r>
              <w:rPr>
                <w:rFonts w:ascii="仿宋_GB2312" w:hAnsi="仿宋_GB2312" w:eastAsia="仿宋_GB2312" w:cs="仿宋_GB2312"/>
                <w:b/>
                <w:bCs/>
                <w:kern w:val="0"/>
                <w:sz w:val="24"/>
                <w:szCs w:val="24"/>
              </w:rPr>
              <w:t xml:space="preserve">  </w:t>
            </w:r>
            <w:r>
              <w:drawing>
                <wp:inline distT="0" distB="0" distL="0" distR="0">
                  <wp:extent cx="4389120" cy="2592070"/>
                  <wp:effectExtent l="0" t="0" r="0" b="0"/>
                  <wp:docPr id="76192198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360" w:lineRule="auto"/>
              <w:rPr>
                <w:rFonts w:cs="仿宋_GB2312" w:asciiTheme="minorEastAsia" w:hAnsiTheme="minorEastAsia"/>
                <w:b/>
                <w:bCs/>
                <w:kern w:val="0"/>
                <w:sz w:val="24"/>
                <w:szCs w:val="24"/>
              </w:rPr>
            </w:pPr>
            <w:r>
              <w:rPr>
                <w:rFonts w:hint="eastAsia" w:cs="仿宋_GB2312" w:asciiTheme="minorEastAsia" w:hAnsiTheme="minorEastAsia"/>
                <w:b/>
                <w:bCs/>
                <w:kern w:val="0"/>
                <w:sz w:val="24"/>
                <w:szCs w:val="24"/>
              </w:rPr>
              <w:t>（八）</w:t>
            </w:r>
            <w:r>
              <w:rPr>
                <w:rFonts w:cs="仿宋_GB2312" w:asciiTheme="minorEastAsia" w:hAnsiTheme="minorEastAsia"/>
                <w:b/>
                <w:bCs/>
                <w:kern w:val="0"/>
                <w:sz w:val="24"/>
                <w:szCs w:val="24"/>
              </w:rPr>
              <w:t>课程评价及改革成效</w:t>
            </w:r>
          </w:p>
          <w:p>
            <w:pPr>
              <w:spacing w:line="360" w:lineRule="auto"/>
              <w:ind w:left="61" w:leftChars="29" w:firstLine="480" w:firstLineChars="200"/>
              <w:rPr>
                <w:rFonts w:asciiTheme="minorEastAsia" w:hAnsiTheme="minorEastAsia"/>
                <w:sz w:val="24"/>
                <w:szCs w:val="24"/>
              </w:rPr>
            </w:pPr>
            <w:r>
              <w:rPr>
                <w:rFonts w:asciiTheme="minorEastAsia" w:hAnsiTheme="minorEastAsia"/>
                <w:sz w:val="24"/>
                <w:szCs w:val="24"/>
              </w:rPr>
              <w:t>校内评价：为了保障教学质量，教师和学生均纳入了课程评价体系，主要通过学生评教，同行听课评价，近 5 学年评价结果均为优秀。</w:t>
            </w:r>
          </w:p>
          <w:p>
            <w:pPr>
              <w:spacing w:line="360" w:lineRule="auto"/>
              <w:ind w:left="61" w:leftChars="29" w:firstLine="480" w:firstLineChars="200"/>
              <w:rPr>
                <w:rFonts w:asciiTheme="minorEastAsia" w:hAnsiTheme="minorEastAsia"/>
                <w:sz w:val="24"/>
                <w:szCs w:val="24"/>
              </w:rPr>
            </w:pPr>
            <w:r>
              <w:rPr>
                <w:rFonts w:asciiTheme="minorEastAsia" w:hAnsiTheme="minorEastAsia"/>
                <w:sz w:val="24"/>
                <w:szCs w:val="24"/>
              </w:rPr>
              <w:t>专家评价：课程得到了高校和行业专家的高度评价，认为该课程的教学内容和教学方法先进，教学成效显著，对工业设计人才培养具有重要的支撑作用。</w:t>
            </w:r>
          </w:p>
          <w:p>
            <w:pPr>
              <w:spacing w:line="360" w:lineRule="auto"/>
              <w:ind w:left="480"/>
              <w:rPr>
                <w:rFonts w:asciiTheme="minorEastAsia" w:hAnsiTheme="minorEastAsia"/>
                <w:sz w:val="24"/>
                <w:szCs w:val="24"/>
              </w:rPr>
            </w:pPr>
            <w:r>
              <w:rPr>
                <w:rFonts w:asciiTheme="minorEastAsia" w:hAnsiTheme="minorEastAsia"/>
                <w:sz w:val="24"/>
                <w:szCs w:val="24"/>
              </w:rPr>
              <w:t xml:space="preserve">改革成效： </w:t>
            </w:r>
          </w:p>
          <w:p>
            <w:pPr>
              <w:spacing w:line="360" w:lineRule="auto"/>
              <w:ind w:firstLine="480" w:firstLineChars="200"/>
              <w:jc w:val="left"/>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.学生</w:t>
            </w:r>
            <w:r>
              <w:rPr>
                <w:rFonts w:hint="eastAsia" w:asciiTheme="minorEastAsia" w:hAnsiTheme="minorEastAsia"/>
                <w:sz w:val="24"/>
                <w:szCs w:val="24"/>
              </w:rPr>
              <w:t>创新</w:t>
            </w:r>
            <w:r>
              <w:rPr>
                <w:rFonts w:asciiTheme="minorEastAsia" w:hAnsiTheme="minorEastAsia"/>
                <w:sz w:val="24"/>
                <w:szCs w:val="24"/>
              </w:rPr>
              <w:t>设计能力大幅度提高。近 3 年取得了设计竞赛国家级</w:t>
            </w:r>
            <w:r>
              <w:rPr>
                <w:rFonts w:hint="eastAsia" w:asciiTheme="minorEastAsia" w:hAnsiTheme="minorEastAsia"/>
                <w:sz w:val="24"/>
                <w:szCs w:val="24"/>
              </w:rPr>
              <w:t>奖项</w:t>
            </w:r>
            <w:r>
              <w:rPr>
                <w:rFonts w:asciiTheme="minorEastAsia" w:hAnsiTheme="minorEastAsia"/>
                <w:sz w:val="24"/>
                <w:szCs w:val="24"/>
              </w:rPr>
              <w:t>100余项，省部级 200 余项的优异成绩</w:t>
            </w:r>
            <w:r>
              <w:rPr>
                <w:rFonts w:hint="eastAsia" w:asciiTheme="minorEastAsia" w:hAnsiTheme="minorEastAsia"/>
                <w:sz w:val="24"/>
                <w:szCs w:val="24"/>
              </w:rPr>
              <w:t>。</w:t>
            </w:r>
          </w:p>
          <w:p>
            <w:pPr>
              <w:spacing w:line="360" w:lineRule="auto"/>
              <w:rPr>
                <w:rFonts w:asciiTheme="minorEastAsia" w:hAnsiTheme="minorEastAsia"/>
                <w:sz w:val="24"/>
                <w:szCs w:val="24"/>
              </w:rPr>
            </w:pPr>
            <w:r>
              <w:drawing>
                <wp:anchor distT="0" distB="0" distL="114300" distR="114300" simplePos="0" relativeHeight="251663360" behindDoc="1" locked="0" layoutInCell="1" allowOverlap="1">
                  <wp:simplePos x="0" y="0"/>
                  <wp:positionH relativeFrom="column">
                    <wp:posOffset>-6350</wp:posOffset>
                  </wp:positionH>
                  <wp:positionV relativeFrom="paragraph">
                    <wp:posOffset>299085</wp:posOffset>
                  </wp:positionV>
                  <wp:extent cx="4572000" cy="2743200"/>
                  <wp:effectExtent l="0" t="0" r="0" b="0"/>
                  <wp:wrapTight wrapText="bothSides">
                    <wp:wrapPolygon>
                      <wp:start x="0" y="0"/>
                      <wp:lineTo x="0" y="21450"/>
                      <wp:lineTo x="21510" y="21450"/>
                      <wp:lineTo x="21510" y="0"/>
                      <wp:lineTo x="0" y="0"/>
                    </wp:wrapPolygon>
                  </wp:wrapTight>
                  <wp:docPr id="17676525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w:t>
            </w:r>
            <w:r>
              <w:rPr>
                <w:rFonts w:asciiTheme="minorEastAsia" w:hAnsiTheme="minorEastAsia"/>
                <w:sz w:val="24"/>
                <w:szCs w:val="24"/>
              </w:rPr>
              <w:t>近三年校内教学团队获得多次表彰：其中</w:t>
            </w:r>
            <w:r>
              <w:rPr>
                <w:rFonts w:hint="eastAsia" w:asciiTheme="minorEastAsia" w:hAnsiTheme="minorEastAsia"/>
                <w:sz w:val="24"/>
                <w:szCs w:val="24"/>
              </w:rPr>
              <w:t>课程负责人获</w:t>
            </w:r>
            <w:r>
              <w:rPr>
                <w:rFonts w:asciiTheme="minorEastAsia" w:hAnsiTheme="minorEastAsia"/>
                <w:sz w:val="24"/>
                <w:szCs w:val="24"/>
              </w:rPr>
              <w:t>校级师德先进个人</w:t>
            </w:r>
            <w:r>
              <w:rPr>
                <w:rFonts w:hint="eastAsia" w:asciiTheme="minorEastAsia" w:hAnsiTheme="minorEastAsia"/>
                <w:sz w:val="24"/>
                <w:szCs w:val="24"/>
              </w:rPr>
              <w:t>、卓越教师奖和</w:t>
            </w:r>
            <w:r>
              <w:rPr>
                <w:rFonts w:asciiTheme="minorEastAsia" w:hAnsiTheme="minorEastAsia"/>
                <w:sz w:val="24"/>
                <w:szCs w:val="24"/>
              </w:rPr>
              <w:t>宜宾市优秀教师</w:t>
            </w:r>
            <w:r>
              <w:rPr>
                <w:rFonts w:hint="eastAsia" w:asciiTheme="minorEastAsia" w:hAnsiTheme="minorEastAsia"/>
                <w:sz w:val="24"/>
                <w:szCs w:val="24"/>
              </w:rPr>
              <w:t>，1名教师获校级优秀教师。</w:t>
            </w:r>
          </w:p>
          <w:p>
            <w:pPr>
              <w:spacing w:line="360" w:lineRule="auto"/>
              <w:ind w:firstLine="480" w:firstLineChars="200"/>
              <w:rPr>
                <w:rFonts w:ascii="仿宋_GB2312" w:hAnsi="仿宋_GB2312" w:eastAsia="仿宋_GB2312" w:cs="仿宋_GB2312"/>
                <w:b/>
                <w:bCs/>
                <w:kern w:val="0"/>
                <w:sz w:val="24"/>
                <w:szCs w:val="24"/>
              </w:rPr>
            </w:pPr>
            <w:r>
              <w:rPr>
                <w:rFonts w:asciiTheme="minorEastAsia" w:hAnsiTheme="minorEastAsia"/>
                <w:sz w:val="24"/>
                <w:szCs w:val="24"/>
              </w:rPr>
              <w:t>3</w:t>
            </w:r>
            <w:r>
              <w:rPr>
                <w:rFonts w:hint="eastAsia" w:asciiTheme="minorEastAsia" w:hAnsiTheme="minorEastAsia"/>
                <w:sz w:val="24"/>
                <w:szCs w:val="24"/>
              </w:rPr>
              <w:t>．</w:t>
            </w:r>
            <w:r>
              <w:rPr>
                <w:rFonts w:asciiTheme="minorEastAsia" w:hAnsiTheme="minorEastAsia"/>
                <w:sz w:val="24"/>
                <w:szCs w:val="24"/>
              </w:rPr>
              <w:t>教学团队</w:t>
            </w:r>
            <w:r>
              <w:rPr>
                <w:rFonts w:hint="eastAsia" w:asciiTheme="minorEastAsia" w:hAnsiTheme="minorEastAsia"/>
                <w:sz w:val="24"/>
                <w:szCs w:val="24"/>
              </w:rPr>
              <w:t>近3年省级教学成果二等奖1项，</w:t>
            </w:r>
            <w:r>
              <w:rPr>
                <w:rFonts w:asciiTheme="minorEastAsia" w:hAnsiTheme="minorEastAsia"/>
                <w:sz w:val="24"/>
                <w:szCs w:val="24"/>
              </w:rPr>
              <w:t>校级教学成果奖</w:t>
            </w:r>
            <w:r>
              <w:rPr>
                <w:rFonts w:hint="eastAsia" w:asciiTheme="minorEastAsia" w:hAnsiTheme="minorEastAsia"/>
                <w:sz w:val="24"/>
                <w:szCs w:val="24"/>
              </w:rPr>
              <w:t>特等奖1项，</w:t>
            </w:r>
            <w:r>
              <w:rPr>
                <w:rFonts w:asciiTheme="minorEastAsia" w:hAnsiTheme="minorEastAsia"/>
                <w:sz w:val="24"/>
                <w:szCs w:val="24"/>
              </w:rPr>
              <w:t>一等奖2 项，二等奖3 项，三等奖 2 项</w:t>
            </w:r>
            <w:r>
              <w:rPr>
                <w:rFonts w:hint="eastAsia" w:asciiTheme="minorEastAsia" w:hAnsiTheme="minorEastAsia"/>
                <w:sz w:val="24"/>
                <w:szCs w:val="24"/>
              </w:rPr>
              <w:t>。</w:t>
            </w:r>
            <w:r>
              <w:rPr>
                <w:rFonts w:hint="eastAsia" w:asciiTheme="minorEastAsia" w:hAnsiTheme="minorEastAsia"/>
                <w:bCs/>
                <w:color w:val="000000" w:themeColor="text1"/>
                <w:sz w:val="24"/>
                <w:szCs w:val="24"/>
                <w14:textFill>
                  <w14:solidFill>
                    <w14:schemeClr w14:val="tx1"/>
                  </w14:solidFill>
                </w14:textFill>
              </w:rPr>
              <w:t>2</w:t>
            </w:r>
            <w:r>
              <w:rPr>
                <w:rFonts w:asciiTheme="minorEastAsia" w:hAnsiTheme="minorEastAsia"/>
                <w:bCs/>
                <w:color w:val="000000" w:themeColor="text1"/>
                <w:sz w:val="24"/>
                <w:szCs w:val="24"/>
                <w14:textFill>
                  <w14:solidFill>
                    <w14:schemeClr w14:val="tx1"/>
                  </w14:solidFill>
                </w14:textFill>
              </w:rPr>
              <w:t>022</w:t>
            </w:r>
            <w:r>
              <w:rPr>
                <w:rFonts w:hint="eastAsia" w:asciiTheme="minorEastAsia" w:hAnsiTheme="minorEastAsia"/>
                <w:bCs/>
                <w:color w:val="000000" w:themeColor="text1"/>
                <w:sz w:val="24"/>
                <w:szCs w:val="24"/>
                <w14:textFill>
                  <w14:solidFill>
                    <w14:schemeClr w14:val="tx1"/>
                  </w14:solidFill>
                </w14:textFill>
              </w:rPr>
              <w:t>年课程团队</w:t>
            </w:r>
            <w:r>
              <w:rPr>
                <w:rFonts w:asciiTheme="minorEastAsia" w:hAnsiTheme="minorEastAsia"/>
                <w:bCs/>
                <w:color w:val="000000" w:themeColor="text1"/>
                <w:sz w:val="24"/>
                <w:szCs w:val="24"/>
                <w14:textFill>
                  <w14:solidFill>
                    <w14:schemeClr w14:val="tx1"/>
                  </w14:solidFill>
                </w14:textFill>
              </w:rPr>
              <w:t>获得全国艺术设计教师教学创新大赛全国总决赛二等奖</w:t>
            </w:r>
            <w:r>
              <w:rPr>
                <w:rFonts w:hint="eastAsia" w:asciiTheme="minorEastAsia" w:hAnsiTheme="minorEastAsia"/>
                <w:bCs/>
                <w:color w:val="000000" w:themeColor="text1"/>
                <w:sz w:val="24"/>
                <w:szCs w:val="24"/>
                <w14:textFill>
                  <w14:solidFill>
                    <w14:schemeClr w14:val="tx1"/>
                  </w14:solidFill>
                </w14:textFill>
              </w:rPr>
              <w:t>。</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rFonts w:ascii="仿宋_GB2312" w:hAnsi="仿宋_GB2312" w:eastAsia="仿宋_GB2312" w:cs="仿宋_GB2312"/>
                <w:kern w:val="0"/>
                <w:sz w:val="24"/>
                <w:szCs w:val="24"/>
              </w:rPr>
            </w:pPr>
            <w:r>
              <w:rPr>
                <w:rFonts w:hint="eastAsia" w:asciiTheme="minorEastAsia" w:hAnsiTheme="minorEastAsia"/>
                <w:b/>
                <w:sz w:val="24"/>
                <w:szCs w:val="24"/>
              </w:rPr>
              <w:t>（一）课程建设特色</w:t>
            </w:r>
          </w:p>
          <w:p>
            <w:pPr>
              <w:spacing w:line="360" w:lineRule="auto"/>
              <w:rPr>
                <w:rFonts w:asciiTheme="minorEastAsia" w:hAnsiTheme="minorEastAsia"/>
                <w:b/>
                <w:sz w:val="24"/>
                <w:szCs w:val="24"/>
              </w:rPr>
            </w:pPr>
            <w:r>
              <w:rPr>
                <w:rFonts w:hint="eastAsia" w:asciiTheme="minorEastAsia" w:hAnsiTheme="minorEastAsia"/>
                <w:b/>
                <w:sz w:val="24"/>
                <w:szCs w:val="24"/>
              </w:rPr>
              <w:t xml:space="preserve">   </w:t>
            </w:r>
            <w:r>
              <w:rPr>
                <w:rFonts w:hint="eastAsia" w:asciiTheme="minorEastAsia" w:hAnsiTheme="minorEastAsia"/>
                <w:sz w:val="24"/>
                <w:szCs w:val="24"/>
              </w:rPr>
              <w:t xml:space="preserve"> 我校人机工程学秉承“人—机—环境”系统交叉的学科属性，聚合“人文—机械—艺术—环境”等学院的教学资源，融通线上线下、课内课外教学，坚持理实一体、课企互融，逐步形成了德智体美劳同步、理实赛创一体、校企共育共建的课程特色。</w:t>
            </w:r>
          </w:p>
          <w:p>
            <w:pPr>
              <w:spacing w:line="360" w:lineRule="auto"/>
              <w:rPr>
                <w:rFonts w:asciiTheme="minorEastAsia" w:hAnsiTheme="minorEastAsia"/>
                <w:b/>
                <w:sz w:val="24"/>
                <w:szCs w:val="24"/>
              </w:rPr>
            </w:pPr>
            <w:r>
              <w:rPr>
                <w:rFonts w:hint="eastAsia" w:asciiTheme="minorEastAsia" w:hAnsiTheme="minorEastAsia"/>
                <w:b/>
                <w:sz w:val="24"/>
                <w:szCs w:val="24"/>
              </w:rPr>
              <w:t>（二）教学改革创新点</w:t>
            </w:r>
          </w:p>
          <w:p>
            <w:pPr>
              <w:spacing w:line="360" w:lineRule="auto"/>
              <w:rPr>
                <w:rFonts w:asciiTheme="minorEastAsia" w:hAnsiTheme="minorEastAsia"/>
                <w:b/>
                <w:sz w:val="24"/>
                <w:szCs w:val="24"/>
              </w:rPr>
            </w:pPr>
            <w:r>
              <w:rPr>
                <w:rFonts w:hint="eastAsia" w:asciiTheme="minorEastAsia" w:hAnsiTheme="minorEastAsia"/>
                <w:b/>
                <w:sz w:val="24"/>
                <w:szCs w:val="24"/>
              </w:rPr>
              <w:t>1</w:t>
            </w:r>
            <w:r>
              <w:rPr>
                <w:rFonts w:asciiTheme="minorEastAsia" w:hAnsiTheme="minorEastAsia"/>
                <w:b/>
                <w:sz w:val="24"/>
                <w:szCs w:val="24"/>
              </w:rPr>
              <w:t>.</w:t>
            </w:r>
            <w:r>
              <w:rPr>
                <w:rFonts w:hint="eastAsia" w:asciiTheme="minorEastAsia" w:hAnsiTheme="minorEastAsia"/>
                <w:b/>
                <w:sz w:val="24"/>
                <w:szCs w:val="24"/>
              </w:rPr>
              <w:t xml:space="preserve"> 产教融合-课企融通，推进教学内容符合产业发展需求。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 探索引企入教、送教入企，与地方企业进行课程共建，共建课程教学团队和创新设计工作室等。如已与四川省宜宾五粮液集团有限公司、四川省宜宾普拉斯包装材料有限公司、自贡彩灯文化传播运营有限公司、成都浪尖工业设计公</w:t>
            </w:r>
            <w:r>
              <w:rPr>
                <w:rFonts w:asciiTheme="minorEastAsia" w:hAnsiTheme="minorEastAsia"/>
                <w:sz w:val="24"/>
                <w:szCs w:val="24"/>
              </w:rPr>
              <w:t>司</w:t>
            </w:r>
            <w:r>
              <w:rPr>
                <w:rFonts w:hint="eastAsia" w:asciiTheme="minorEastAsia" w:hAnsiTheme="minorEastAsia"/>
                <w:sz w:val="24"/>
                <w:szCs w:val="24"/>
              </w:rPr>
              <w:t>等地方企业建立长期的校企合作平台和基地，</w:t>
            </w:r>
            <w:bookmarkStart w:id="7" w:name="_Hlk147485392"/>
            <w:r>
              <w:rPr>
                <w:rFonts w:hint="eastAsia" w:asciiTheme="minorEastAsia" w:hAnsiTheme="minorEastAsia"/>
                <w:sz w:val="24"/>
                <w:szCs w:val="24"/>
              </w:rPr>
              <w:t>推进课程内容融合产业新需求，并提升课程的难度</w:t>
            </w:r>
            <w:bookmarkEnd w:id="7"/>
            <w:r>
              <w:rPr>
                <w:rFonts w:hint="eastAsia" w:asciiTheme="minorEastAsia" w:hAnsiTheme="minorEastAsia"/>
                <w:sz w:val="24"/>
                <w:szCs w:val="24"/>
              </w:rPr>
              <w:t>。</w:t>
            </w:r>
          </w:p>
          <w:p>
            <w:pPr>
              <w:spacing w:line="360" w:lineRule="auto"/>
              <w:rPr>
                <w:rFonts w:asciiTheme="minorEastAsia" w:hAnsiTheme="minorEastAsia"/>
                <w:b/>
                <w:sz w:val="24"/>
                <w:szCs w:val="24"/>
              </w:rPr>
            </w:pPr>
            <w:r>
              <w:rPr>
                <w:rFonts w:asciiTheme="minorEastAsia" w:hAnsiTheme="minorEastAsia"/>
                <w:b/>
                <w:sz w:val="24"/>
                <w:szCs w:val="24"/>
              </w:rPr>
              <w:t>2.</w:t>
            </w:r>
            <w:r>
              <w:rPr>
                <w:rFonts w:hint="eastAsia" w:asciiTheme="minorEastAsia" w:hAnsiTheme="minorEastAsia"/>
                <w:b/>
                <w:sz w:val="24"/>
                <w:szCs w:val="24"/>
              </w:rPr>
              <w:t>产出导向-多元联动，着力提升学生综合创新设计实践能力。</w:t>
            </w:r>
          </w:p>
          <w:p>
            <w:pPr>
              <w:snapToGrid w:val="0"/>
              <w:spacing w:line="360" w:lineRule="auto"/>
              <w:ind w:firstLine="600" w:firstLineChars="250"/>
              <w:rPr>
                <w:rFonts w:asciiTheme="minorEastAsia" w:hAnsiTheme="minorEastAsia"/>
                <w:sz w:val="24"/>
                <w:szCs w:val="24"/>
              </w:rPr>
            </w:pPr>
            <w:r>
              <w:rPr>
                <w:rFonts w:hint="eastAsia" w:asciiTheme="minorEastAsia" w:hAnsiTheme="minorEastAsia"/>
                <w:sz w:val="24"/>
                <w:szCs w:val="24"/>
              </w:rPr>
              <w:t>线下教学，课外以学科竞赛项目设计、企业需求项目</w:t>
            </w:r>
            <w:r>
              <w:rPr>
                <w:rFonts w:hint="eastAsia" w:ascii="宋体" w:hAnsi="宋体"/>
                <w:sz w:val="24"/>
              </w:rPr>
              <w:t>设计实践和方案落地</w:t>
            </w:r>
            <w:r>
              <w:rPr>
                <w:rFonts w:hint="eastAsia" w:asciiTheme="minorEastAsia" w:hAnsiTheme="minorEastAsia"/>
                <w:sz w:val="24"/>
                <w:szCs w:val="24"/>
              </w:rPr>
              <w:t>为驱动，激发学生自主学习动力，企业导师交流辅导、企业参观、校内教师持续跟进指导等多元途径，让</w:t>
            </w:r>
            <w:r>
              <w:rPr>
                <w:rFonts w:hint="eastAsia" w:ascii="宋体" w:hAnsi="宋体"/>
                <w:sz w:val="24"/>
              </w:rPr>
              <w:t>学生在项目实践中领悟创新思维、掌握设计技巧，</w:t>
            </w:r>
            <w:r>
              <w:rPr>
                <w:rFonts w:hint="eastAsia" w:asciiTheme="minorEastAsia" w:hAnsiTheme="minorEastAsia"/>
                <w:sz w:val="24"/>
                <w:szCs w:val="24"/>
              </w:rPr>
              <w:t>培养学生和市场需求对接的设计思维和能力、解决实际问题的高阶能力。</w:t>
            </w:r>
          </w:p>
          <w:p>
            <w:pPr>
              <w:spacing w:line="360" w:lineRule="auto"/>
              <w:rPr>
                <w:rFonts w:asciiTheme="minorEastAsia" w:hAnsiTheme="minorEastAsia"/>
                <w:b/>
                <w:sz w:val="24"/>
                <w:szCs w:val="24"/>
              </w:rPr>
            </w:pPr>
            <w:r>
              <w:rPr>
                <w:rFonts w:asciiTheme="minorEastAsia" w:hAnsiTheme="minorEastAsia"/>
                <w:b/>
                <w:sz w:val="24"/>
                <w:szCs w:val="24"/>
              </w:rPr>
              <w:t>3.</w:t>
            </w:r>
            <w:r>
              <w:rPr>
                <w:rFonts w:hint="eastAsia" w:asciiTheme="minorEastAsia" w:hAnsiTheme="minorEastAsia"/>
                <w:b/>
                <w:sz w:val="24"/>
                <w:szCs w:val="24"/>
              </w:rPr>
              <w:t>思政育人，构建关爱包容、为公利他、人与自然和谐共生的人性化设计意识和观念。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人机工程学是研究人与系统中其他因素之间的相互作用，以及应用相关理论、原理、数据和方法来设计以达到优化人类系统和统效能的学科。课程培养学生理解产品与人、社会、自然之间的关系，人与人、人与社会、人与自然之间的关系，形成“以人为本、创新创造、人机协调、可持续发展”的正确思想观和设计观。</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根据国家一流课程建设要求，依据我校办学定位和人才培养目标，以培养</w:t>
            </w:r>
            <w:r>
              <w:rPr>
                <w:rFonts w:hint="eastAsia" w:asciiTheme="minorEastAsia" w:hAnsiTheme="minorEastAsia"/>
                <w:sz w:val="24"/>
                <w:szCs w:val="24"/>
              </w:rPr>
              <w:t>高级</w:t>
            </w:r>
            <w:r>
              <w:rPr>
                <w:rFonts w:asciiTheme="minorEastAsia" w:hAnsiTheme="minorEastAsia"/>
                <w:sz w:val="24"/>
                <w:szCs w:val="24"/>
              </w:rPr>
              <w:t>创新设计和应用型人才为标准树立课程建设新理念，坚持基础理论知识、设计实践能力、创新意识和能力协调发展，推进课程改革创新。</w:t>
            </w:r>
            <w:r>
              <w:rPr>
                <w:rFonts w:hint="eastAsia" w:asciiTheme="minorEastAsia" w:hAnsiTheme="minorEastAsia"/>
                <w:sz w:val="24"/>
                <w:szCs w:val="24"/>
              </w:rPr>
              <w:t>持续建设计划如下：</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一）不断完善教学内容和教学方法。进一步挖掘思政元素，加强课程思政；采取全程小班、全程项目式、全程讨论式等更有效的教学手段增强学生解决复杂设计问题的能力；进一步增加实际教学案例，通过案例教学实现学科育人和课程育人同心同向。</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（二）继续完善线上学习</w:t>
            </w:r>
            <w:r>
              <w:rPr>
                <w:rFonts w:asciiTheme="minorEastAsia" w:hAnsiTheme="minorEastAsia"/>
                <w:sz w:val="24"/>
                <w:szCs w:val="24"/>
              </w:rPr>
              <w:t>平台</w:t>
            </w:r>
            <w:r>
              <w:rPr>
                <w:rFonts w:hint="eastAsia" w:asciiTheme="minorEastAsia" w:hAnsiTheme="minorEastAsia"/>
                <w:sz w:val="24"/>
                <w:szCs w:val="24"/>
              </w:rPr>
              <w:t>建设</w:t>
            </w:r>
            <w:r>
              <w:rPr>
                <w:rFonts w:asciiTheme="minorEastAsia" w:hAnsiTheme="minorEastAsia"/>
                <w:sz w:val="24"/>
                <w:szCs w:val="24"/>
              </w:rPr>
              <w:t>。在建设过程中，每年更新教学资源库，做到资源与教学发展同步性，始终保持教学资源库的先进性，始终保持教学资源对国内高校人机工程学课程教学起引领和带动作用</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（三）不断更新和丰富课程案例库，建立学生优秀作品库。</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（四）加强实验室建设。</w:t>
            </w:r>
            <w:r>
              <w:rPr>
                <w:rFonts w:asciiTheme="minorEastAsia" w:hAnsiTheme="minorEastAsia"/>
                <w:sz w:val="24"/>
                <w:szCs w:val="24"/>
              </w:rPr>
              <w:t>完善人机工程学基础实验建设（补充和更新实验仪器，完善实验数据的测试和处理方法）；建立比较完善的ErgoLAB人机交互实验室；探索建立人机认知实验室。</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（五）进一步加强产学研名师团队建设。进一步加强和吸纳区域经济优势企业参与课程建设和教学，广泛邀请行业知名专家参与教师团队，打造一支产教融合的知名教学团队。</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rPr>
                <w:rFonts w:ascii="仿宋_GB2312" w:hAnsi="仿宋_GB2312" w:eastAsia="仿宋_GB2312" w:cs="仿宋_GB2312"/>
                <w:kern w:val="0"/>
                <w:sz w:val="24"/>
                <w:szCs w:val="24"/>
              </w:rPr>
            </w:pPr>
            <w:r>
              <w:fldChar w:fldCharType="begin"/>
            </w:r>
            <w:r>
              <w:instrText xml:space="preserve"> HYPERLINK "http://www.icourse163.org/collegeAdmin/termManage/1471083496.htm" \l "/tp/courseInfo" </w:instrText>
            </w:r>
            <w:r>
              <w:fldChar w:fldCharType="separate"/>
            </w:r>
            <w:r>
              <w:rPr>
                <w:rStyle w:val="8"/>
                <w:rFonts w:ascii="仿宋_GB2312" w:hAnsi="仿宋_GB2312" w:eastAsia="仿宋_GB2312" w:cs="仿宋_GB2312"/>
                <w:kern w:val="0"/>
                <w:sz w:val="24"/>
                <w:szCs w:val="24"/>
              </w:rPr>
              <w:t>http://www.icourse163.org/collegeAdmin/termManage/1471083496.htm#/tp/courseInfo</w:t>
            </w:r>
            <w:r>
              <w:rPr>
                <w:rStyle w:val="9"/>
                <w:rFonts w:ascii="仿宋_GB2312" w:hAnsi="仿宋_GB2312" w:eastAsia="仿宋_GB2312" w:cs="仿宋_GB2312"/>
                <w:kern w:val="0"/>
                <w:sz w:val="24"/>
                <w:szCs w:val="24"/>
              </w:rPr>
              <w:fldChar w:fldCharType="end"/>
            </w:r>
            <w:r>
              <w:rPr>
                <w:rStyle w:val="9"/>
                <w:rFonts w:hint="eastAsia" w:ascii="仿宋_GB2312" w:hAnsi="仿宋_GB2312" w:eastAsia="仿宋_GB2312" w:cs="仿宋_GB2312"/>
                <w:kern w:val="0"/>
                <w:sz w:val="24"/>
                <w:szCs w:val="24"/>
                <w:u w:val="none"/>
                <w:lang w:val="en-US" w:eastAsia="zh-CN"/>
              </w:rPr>
              <w:t xml:space="preserve">   </w:t>
            </w:r>
            <w:r>
              <w:rPr>
                <w:rFonts w:ascii="仿宋_GB2312" w:hAnsi="仿宋_GB2312" w:eastAsia="仿宋_GB2312" w:cs="仿宋_GB2312"/>
                <w:b/>
                <w:bCs/>
                <w:kern w:val="0"/>
                <w:sz w:val="24"/>
                <w:szCs w:val="24"/>
                <w:u w:val="none"/>
              </w:rPr>
              <w:t>1</w:t>
            </w:r>
            <w:r>
              <w:rPr>
                <w:rFonts w:ascii="仿宋_GB2312" w:hAnsi="仿宋_GB2312" w:eastAsia="仿宋_GB2312" w:cs="仿宋_GB2312"/>
                <w:b/>
                <w:bCs/>
                <w:kern w:val="0"/>
                <w:sz w:val="24"/>
                <w:szCs w:val="24"/>
              </w:rPr>
              <w:t>3890053001,zly010923)</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特别说明：新的说课视频制作中</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highlight w:val="yellow"/>
              </w:rPr>
            </w:pPr>
            <w:r>
              <w:rPr>
                <w:rFonts w:hint="eastAsia" w:ascii="仿宋_GB2312" w:hAnsi="仿宋_GB2312" w:eastAsia="仿宋_GB2312" w:cs="仿宋_GB2312"/>
                <w:b/>
                <w:bCs/>
                <w:kern w:val="0"/>
                <w:sz w:val="24"/>
                <w:szCs w:val="24"/>
                <w:highlight w:val="yellow"/>
              </w:rPr>
              <w:t>9.最近一次学校对课堂教学评价（目前教务系统无法查询到）</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rPr>
              <w:t>（申报学校教务处盖章。）</w:t>
            </w:r>
          </w:p>
          <w:p>
            <w:pPr>
              <w:pStyle w:val="10"/>
              <w:spacing w:line="340" w:lineRule="atLeast"/>
              <w:ind w:firstLine="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r>
              <w:rPr>
                <w:rFonts w:hint="eastAsia" w:ascii="仿宋_GB2312" w:hAnsi="仿宋_GB2312" w:eastAsia="仿宋_GB2312" w:cs="仿宋_GB2312"/>
                <w:kern w:val="0"/>
                <w:sz w:val="24"/>
                <w:szCs w:val="24"/>
                <w:highlight w:val="yellow"/>
              </w:rPr>
              <w:t>说明：课堂实录视频要重新录制</w:t>
            </w:r>
          </w:p>
          <w:p>
            <w:pPr>
              <w:pStyle w:val="10"/>
              <w:numPr>
                <w:ilvl w:val="255"/>
                <w:numId w:val="0"/>
              </w:numPr>
              <w:spacing w:line="340" w:lineRule="atLeast"/>
              <w:ind w:left="420" w:leftChars="200"/>
              <w:rPr>
                <w:rFonts w:hint="eastAsia" w:ascii="仿宋_GB2312" w:hAnsi="仿宋_GB2312" w:eastAsia="仿宋_GB2312" w:cs="仿宋_GB2312"/>
                <w:b/>
                <w:bCs/>
                <w:kern w:val="0"/>
                <w:szCs w:val="21"/>
              </w:rPr>
            </w:pPr>
            <w:r>
              <w:fldChar w:fldCharType="begin"/>
            </w:r>
            <w:r>
              <w:instrText xml:space="preserve"> HYPERLINK "http://www.icourse163.org/learn/preview/CQHG-1454235179?tid=1471083496#/learn/content?type=detail&amp;id=1255592476&amp;cid=1290268232" </w:instrText>
            </w:r>
            <w:r>
              <w:fldChar w:fldCharType="separate"/>
            </w:r>
            <w:r>
              <w:rPr>
                <w:rStyle w:val="8"/>
                <w:rFonts w:ascii="仿宋_GB2312" w:hAnsi="仿宋_GB2312" w:eastAsia="仿宋_GB2312" w:cs="仿宋_GB2312"/>
                <w:b/>
                <w:bCs/>
                <w:kern w:val="0"/>
                <w:szCs w:val="21"/>
              </w:rPr>
              <w:t>http://www.icourse163.or</w:t>
            </w:r>
            <w:bookmarkStart w:id="8" w:name="_GoBack"/>
            <w:bookmarkEnd w:id="8"/>
            <w:r>
              <w:rPr>
                <w:rStyle w:val="8"/>
                <w:rFonts w:ascii="仿宋_GB2312" w:hAnsi="仿宋_GB2312" w:eastAsia="仿宋_GB2312" w:cs="仿宋_GB2312"/>
                <w:b/>
                <w:bCs/>
                <w:kern w:val="0"/>
                <w:szCs w:val="21"/>
              </w:rPr>
              <w:t>g/learn/preview/CQHG-1454235179?tid=1471083496#/learn/content?type=detail&amp;id=1255592476&amp;cid=1290268232</w:t>
            </w:r>
            <w:r>
              <w:rPr>
                <w:rStyle w:val="9"/>
                <w:rFonts w:ascii="仿宋_GB2312" w:hAnsi="仿宋_GB2312" w:eastAsia="仿宋_GB2312" w:cs="仿宋_GB2312"/>
                <w:b/>
                <w:bCs/>
                <w:kern w:val="0"/>
                <w:szCs w:val="21"/>
              </w:rPr>
              <w:fldChar w:fldCharType="end"/>
            </w:r>
            <w:r>
              <w:rPr>
                <w:rFonts w:ascii="仿宋_GB2312" w:hAnsi="仿宋_GB2312" w:eastAsia="仿宋_GB2312" w:cs="仿宋_GB2312"/>
                <w:b/>
                <w:bCs/>
                <w:kern w:val="0"/>
                <w:szCs w:val="21"/>
              </w:rPr>
              <w:t xml:space="preserve"> (13890053001,zly010923)</w:t>
            </w:r>
          </w:p>
          <w:p>
            <w:pPr>
              <w:pStyle w:val="10"/>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10"/>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10"/>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10"/>
        <w:adjustRightInd w:val="0"/>
        <w:snapToGrid w:val="0"/>
        <w:spacing w:line="340" w:lineRule="atLeast"/>
        <w:ind w:firstLine="0" w:firstLineChars="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mOTFkYWI4YjJlYzI3OTY3ZGYwMTU3M2MyZGFmOWYifQ=="/>
  </w:docVars>
  <w:rsids>
    <w:rsidRoot w:val="00314882"/>
    <w:rsid w:val="000179D5"/>
    <w:rsid w:val="000227CE"/>
    <w:rsid w:val="0005570A"/>
    <w:rsid w:val="000870EF"/>
    <w:rsid w:val="000A5AA8"/>
    <w:rsid w:val="000A6E04"/>
    <w:rsid w:val="000B260F"/>
    <w:rsid w:val="000B272C"/>
    <w:rsid w:val="000D3A34"/>
    <w:rsid w:val="000D7E48"/>
    <w:rsid w:val="000F28B7"/>
    <w:rsid w:val="00107FF6"/>
    <w:rsid w:val="00112D6D"/>
    <w:rsid w:val="001139A0"/>
    <w:rsid w:val="0012104E"/>
    <w:rsid w:val="00135E4B"/>
    <w:rsid w:val="0015272F"/>
    <w:rsid w:val="001850FE"/>
    <w:rsid w:val="00191D62"/>
    <w:rsid w:val="001B6AD3"/>
    <w:rsid w:val="001C6CE0"/>
    <w:rsid w:val="001E5451"/>
    <w:rsid w:val="00207026"/>
    <w:rsid w:val="00227DBB"/>
    <w:rsid w:val="002329A6"/>
    <w:rsid w:val="00242DF3"/>
    <w:rsid w:val="0025727F"/>
    <w:rsid w:val="002607F3"/>
    <w:rsid w:val="00270FF5"/>
    <w:rsid w:val="002739EB"/>
    <w:rsid w:val="0028572E"/>
    <w:rsid w:val="00291065"/>
    <w:rsid w:val="00292444"/>
    <w:rsid w:val="002A33B4"/>
    <w:rsid w:val="002B615D"/>
    <w:rsid w:val="002E0C19"/>
    <w:rsid w:val="002E0FD3"/>
    <w:rsid w:val="002F517B"/>
    <w:rsid w:val="00302885"/>
    <w:rsid w:val="0030690E"/>
    <w:rsid w:val="00314882"/>
    <w:rsid w:val="00327B2E"/>
    <w:rsid w:val="00340220"/>
    <w:rsid w:val="00363861"/>
    <w:rsid w:val="003A5DFC"/>
    <w:rsid w:val="003D1356"/>
    <w:rsid w:val="003D5F1E"/>
    <w:rsid w:val="003E02BE"/>
    <w:rsid w:val="003E62E0"/>
    <w:rsid w:val="003F6C35"/>
    <w:rsid w:val="0041779F"/>
    <w:rsid w:val="004205D8"/>
    <w:rsid w:val="004416DA"/>
    <w:rsid w:val="004438DF"/>
    <w:rsid w:val="0044718A"/>
    <w:rsid w:val="004541B5"/>
    <w:rsid w:val="00462217"/>
    <w:rsid w:val="00462297"/>
    <w:rsid w:val="00493C09"/>
    <w:rsid w:val="004B2CA7"/>
    <w:rsid w:val="004C03A2"/>
    <w:rsid w:val="004D567D"/>
    <w:rsid w:val="00503B63"/>
    <w:rsid w:val="0051727E"/>
    <w:rsid w:val="00526428"/>
    <w:rsid w:val="00555114"/>
    <w:rsid w:val="00563E47"/>
    <w:rsid w:val="005763DF"/>
    <w:rsid w:val="005865AE"/>
    <w:rsid w:val="00591B64"/>
    <w:rsid w:val="005A4B2C"/>
    <w:rsid w:val="005B0291"/>
    <w:rsid w:val="005B0634"/>
    <w:rsid w:val="005B21C0"/>
    <w:rsid w:val="005B5904"/>
    <w:rsid w:val="005B63A2"/>
    <w:rsid w:val="005D6133"/>
    <w:rsid w:val="005D6166"/>
    <w:rsid w:val="005E67AC"/>
    <w:rsid w:val="005F3749"/>
    <w:rsid w:val="00606E81"/>
    <w:rsid w:val="00644E9A"/>
    <w:rsid w:val="00657E6B"/>
    <w:rsid w:val="00665FAD"/>
    <w:rsid w:val="00687179"/>
    <w:rsid w:val="00687AE0"/>
    <w:rsid w:val="0069008C"/>
    <w:rsid w:val="006902B9"/>
    <w:rsid w:val="006B04C9"/>
    <w:rsid w:val="006B4C63"/>
    <w:rsid w:val="006B5571"/>
    <w:rsid w:val="006D1494"/>
    <w:rsid w:val="006D32A8"/>
    <w:rsid w:val="006E30D4"/>
    <w:rsid w:val="006E5D94"/>
    <w:rsid w:val="0070176E"/>
    <w:rsid w:val="00702A94"/>
    <w:rsid w:val="00704AD4"/>
    <w:rsid w:val="00712BE2"/>
    <w:rsid w:val="007320CD"/>
    <w:rsid w:val="007407C2"/>
    <w:rsid w:val="00782DEE"/>
    <w:rsid w:val="0079384A"/>
    <w:rsid w:val="007B39F8"/>
    <w:rsid w:val="007C5E75"/>
    <w:rsid w:val="007C7FA2"/>
    <w:rsid w:val="007F291C"/>
    <w:rsid w:val="007F7334"/>
    <w:rsid w:val="00804028"/>
    <w:rsid w:val="00807A7E"/>
    <w:rsid w:val="00844E08"/>
    <w:rsid w:val="00850D9D"/>
    <w:rsid w:val="0085575B"/>
    <w:rsid w:val="008721AE"/>
    <w:rsid w:val="0088189B"/>
    <w:rsid w:val="00890938"/>
    <w:rsid w:val="008A130A"/>
    <w:rsid w:val="008B0EEE"/>
    <w:rsid w:val="008C670A"/>
    <w:rsid w:val="008D4066"/>
    <w:rsid w:val="008E03DE"/>
    <w:rsid w:val="008E2A30"/>
    <w:rsid w:val="008F12C8"/>
    <w:rsid w:val="009027C8"/>
    <w:rsid w:val="0092217B"/>
    <w:rsid w:val="009423F4"/>
    <w:rsid w:val="0094240B"/>
    <w:rsid w:val="0095171C"/>
    <w:rsid w:val="00953303"/>
    <w:rsid w:val="00970717"/>
    <w:rsid w:val="00981DEF"/>
    <w:rsid w:val="00985529"/>
    <w:rsid w:val="00995808"/>
    <w:rsid w:val="009B51B4"/>
    <w:rsid w:val="009F07CD"/>
    <w:rsid w:val="00A02723"/>
    <w:rsid w:val="00A1090F"/>
    <w:rsid w:val="00A243B9"/>
    <w:rsid w:val="00A2736E"/>
    <w:rsid w:val="00A308F9"/>
    <w:rsid w:val="00A42AE4"/>
    <w:rsid w:val="00A54ACE"/>
    <w:rsid w:val="00A56352"/>
    <w:rsid w:val="00A7074B"/>
    <w:rsid w:val="00A81BA8"/>
    <w:rsid w:val="00AB502B"/>
    <w:rsid w:val="00AB5D17"/>
    <w:rsid w:val="00AC3B5E"/>
    <w:rsid w:val="00AE3317"/>
    <w:rsid w:val="00AF26D3"/>
    <w:rsid w:val="00B13594"/>
    <w:rsid w:val="00B1714C"/>
    <w:rsid w:val="00B20E3A"/>
    <w:rsid w:val="00B33714"/>
    <w:rsid w:val="00B33FD2"/>
    <w:rsid w:val="00B50A24"/>
    <w:rsid w:val="00B760DC"/>
    <w:rsid w:val="00B86F02"/>
    <w:rsid w:val="00B9470B"/>
    <w:rsid w:val="00BA186A"/>
    <w:rsid w:val="00BA1F52"/>
    <w:rsid w:val="00BA54E4"/>
    <w:rsid w:val="00BA7EDE"/>
    <w:rsid w:val="00BB2289"/>
    <w:rsid w:val="00BD29E5"/>
    <w:rsid w:val="00BD4B34"/>
    <w:rsid w:val="00BE1212"/>
    <w:rsid w:val="00BE5B7E"/>
    <w:rsid w:val="00BF7A6F"/>
    <w:rsid w:val="00C1163C"/>
    <w:rsid w:val="00C332E5"/>
    <w:rsid w:val="00C47165"/>
    <w:rsid w:val="00C56017"/>
    <w:rsid w:val="00C5629A"/>
    <w:rsid w:val="00CA52EE"/>
    <w:rsid w:val="00CA7A54"/>
    <w:rsid w:val="00CB664A"/>
    <w:rsid w:val="00CF69FD"/>
    <w:rsid w:val="00D05E4E"/>
    <w:rsid w:val="00D10FF5"/>
    <w:rsid w:val="00D85525"/>
    <w:rsid w:val="00D8798C"/>
    <w:rsid w:val="00DA497C"/>
    <w:rsid w:val="00DB39C9"/>
    <w:rsid w:val="00DC6142"/>
    <w:rsid w:val="00DF0C27"/>
    <w:rsid w:val="00DF2BBB"/>
    <w:rsid w:val="00E32D97"/>
    <w:rsid w:val="00E332F2"/>
    <w:rsid w:val="00E34600"/>
    <w:rsid w:val="00E40DBD"/>
    <w:rsid w:val="00E470E7"/>
    <w:rsid w:val="00E53EDD"/>
    <w:rsid w:val="00E8469E"/>
    <w:rsid w:val="00E9272E"/>
    <w:rsid w:val="00EB1D26"/>
    <w:rsid w:val="00EB538F"/>
    <w:rsid w:val="00EC2CD3"/>
    <w:rsid w:val="00EE1198"/>
    <w:rsid w:val="00EE6525"/>
    <w:rsid w:val="00EF6842"/>
    <w:rsid w:val="00F11CCC"/>
    <w:rsid w:val="00F12052"/>
    <w:rsid w:val="00F17A68"/>
    <w:rsid w:val="00F224FA"/>
    <w:rsid w:val="00F24553"/>
    <w:rsid w:val="00F300CE"/>
    <w:rsid w:val="00F3251D"/>
    <w:rsid w:val="00F32677"/>
    <w:rsid w:val="00F403F1"/>
    <w:rsid w:val="00F5151A"/>
    <w:rsid w:val="00F56F2D"/>
    <w:rsid w:val="00F57FFA"/>
    <w:rsid w:val="00F90A8D"/>
    <w:rsid w:val="00FA528C"/>
    <w:rsid w:val="00FB55DC"/>
    <w:rsid w:val="00FE0627"/>
    <w:rsid w:val="00FE3C42"/>
    <w:rsid w:val="00FE6B15"/>
    <w:rsid w:val="00FF1503"/>
    <w:rsid w:val="00FF56A4"/>
    <w:rsid w:val="04D85906"/>
    <w:rsid w:val="063C7AAB"/>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04F2928"/>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semiHidden/>
    <w:unhideWhenUsed/>
    <w:uiPriority w:val="99"/>
    <w:rPr>
      <w:color w:val="954F72" w:themeColor="followedHyperlink"/>
      <w:u w:val="single"/>
      <w14:textFill>
        <w14:solidFill>
          <w14:schemeClr w14:val="folHlink"/>
        </w14:solidFill>
      </w14:textFill>
    </w:rPr>
  </w:style>
  <w:style w:type="character" w:styleId="9">
    <w:name w:val="Hyperlink"/>
    <w:basedOn w:val="7"/>
    <w:unhideWhenUsed/>
    <w:uiPriority w:val="99"/>
    <w:rPr>
      <w:color w:val="0563C1" w:themeColor="hyperlink"/>
      <w:u w:val="single"/>
      <w14:textFill>
        <w14:solidFill>
          <w14:schemeClr w14:val="hlink"/>
        </w14:solidFill>
      </w14:textFill>
    </w:rPr>
  </w:style>
  <w:style w:type="paragraph" w:styleId="10">
    <w:name w:val="List Paragraph"/>
    <w:basedOn w:val="1"/>
    <w:qFormat/>
    <w:uiPriority w:val="34"/>
    <w:pPr>
      <w:ind w:firstLine="420" w:firstLineChars="200"/>
    </w:p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批注框文本 字符"/>
    <w:basedOn w:val="7"/>
    <w:link w:val="2"/>
    <w:semiHidden/>
    <w:qFormat/>
    <w:uiPriority w:val="99"/>
    <w:rPr>
      <w:kern w:val="2"/>
      <w:sz w:val="18"/>
      <w:szCs w:val="18"/>
    </w:rPr>
  </w:style>
  <w:style w:type="paragraph" w:customStyle="1" w:styleId="14">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15">
    <w:name w:val="Unresolved Mention"/>
    <w:basedOn w:val="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7.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0154;&#26426;&#24037;&#31243;&#23398;&#25945;&#23398;\&#20154;&#26426;&#35838;&#20214;(23-24.1)\21&#32423;&#32447;&#19979;\&#24037;&#35774;21&#32423;&#20154;&#26426;&#32447;&#19978;&#32447;&#19979;&#28151;&#21512;&#24335;&#23398;&#20064;&#36827;&#24230;&#23433;&#2549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0154;&#26426;&#24037;&#31243;&#23398;&#25945;&#23398;\&#20154;&#26426;&#35838;&#20214;(23-24.1)\21&#32423;&#32447;&#19979;\&#24037;&#35774;21&#32423;&#20154;&#26426;&#32447;&#19978;&#32447;&#19979;&#28151;&#21512;&#24335;&#23398;&#20064;&#36827;&#24230;&#23433;&#2549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0154;&#26426;&#24037;&#31243;&#23398;&#25945;&#23398;\&#20154;&#26426;&#35838;&#20214;(23-24.1)\21&#32423;&#32447;&#19979;\&#24037;&#35774;21&#32423;&#20154;&#26426;&#32447;&#19978;&#32447;&#19979;&#28151;&#21512;&#24335;&#23398;&#20064;&#36827;&#24230;&#23433;&#2549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0154;&#26426;&#24037;&#31243;&#23398;&#25945;&#23398;\&#20154;&#26426;&#35838;&#20214;(23-24.1)\21&#32423;&#32447;&#19979;\&#24037;&#35774;21&#32423;&#20154;&#26426;&#32447;&#19978;&#32447;&#19979;&#28151;&#21512;&#24335;&#23398;&#20064;&#36827;&#24230;&#23433;&#2549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H:\&#30446;&#24405;&#25991;&#202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900" b="1" i="0" u="none" strike="noStrike" kern="1200" baseline="0">
                <a:solidFill>
                  <a:schemeClr val="dk1">
                    <a:lumMod val="65000"/>
                    <a:lumOff val="35000"/>
                  </a:schemeClr>
                </a:solidFill>
                <a:latin typeface="+mn-lt"/>
                <a:ea typeface="+mn-ea"/>
                <a:cs typeface="+mn-cs"/>
              </a:defRPr>
            </a:pPr>
            <a:r>
              <a:rPr lang="zh-CN" sz="900"/>
              <a:t>课程考核成绩</a:t>
            </a:r>
            <a:r>
              <a:rPr lang="zh-CN" altLang="en-US" sz="900"/>
              <a:t>构成及比例</a:t>
            </a:r>
            <a:endParaRPr lang="zh-CN" sz="900"/>
          </a:p>
        </c:rich>
      </c:tx>
      <c:layout>
        <c:manualLayout>
          <c:xMode val="edge"/>
          <c:yMode val="edge"/>
          <c:x val="0.303779271909193"/>
          <c:y val="0.0509258596300432"/>
        </c:manualLayout>
      </c:layout>
      <c:overlay val="0"/>
      <c:spPr>
        <a:noFill/>
        <a:ln>
          <a:noFill/>
        </a:ln>
        <a:effectLst/>
      </c:spPr>
    </c:title>
    <c:autoTitleDeleted val="0"/>
    <c:view3D>
      <c:rotX val="50"/>
      <c:rotY val="0"/>
      <c:depthPercent val="100"/>
      <c:rAngAx val="0"/>
      <c:perspective val="60"/>
    </c:view3D>
    <c:floor>
      <c:thickness val="0"/>
      <c:spPr>
        <a:noFill/>
        <a:ln>
          <a:noFill/>
        </a:ln>
        <a:effectLst/>
      </c:spPr>
    </c:floor>
    <c:sideWall>
      <c:thickness val="0"/>
      <c:spPr>
        <a:noFill/>
        <a:ln>
          <a:noFill/>
        </a:ln>
        <a:effectLst/>
      </c:spPr>
    </c:sideWall>
    <c:backWall>
      <c:thickness val="0"/>
      <c:spPr>
        <a:noFill/>
        <a:ln>
          <a:noFill/>
        </a:ln>
        <a:effectLst/>
      </c:spPr>
    </c:backWall>
    <c:plotArea>
      <c:layout>
        <c:manualLayout>
          <c:layoutTarget val="inner"/>
          <c:xMode val="edge"/>
          <c:yMode val="edge"/>
          <c:x val="0.05"/>
          <c:y val="0.162037037037037"/>
          <c:w val="0.808333333333333"/>
          <c:h val="0.680555555555555"/>
        </c:manualLayout>
      </c:layout>
      <c:pie3DChart>
        <c:varyColors val="1"/>
        <c:ser>
          <c:idx val="0"/>
          <c:order val="0"/>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dPt>
          <c:dLbls>
            <c:dLbl>
              <c:idx val="0"/>
              <c:layout>
                <c:manualLayout>
                  <c:x val="-0.202324927007826"/>
                  <c:y val="0.0735382035578886"/>
                </c:manualLayout>
              </c:layout>
              <c:tx>
                <c:rich>
                  <a:bodyPr rot="0" spcFirstLastPara="1" vertOverflow="ellipsis" vert="horz" wrap="square" lIns="38100" tIns="19050" rIns="38100" bIns="19050" anchor="ctr" anchorCtr="1"/>
                  <a:lstStyle/>
                  <a:p>
                    <a:fld id="{b9aa339b-81e5-4669-a8ee-a0eb78e381c5}" type="CATEGORYNAME">
                      <a:t>[CATEGORY NAME]</a:t>
                    </a:fld>
                    <a:r>
                      <a:t>,</a:t>
                    </a:r>
                    <a:fld id="{7be68a34-b505-412e-bb4b-2b339ba167d5}"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0.160660224435904"/>
                  <c:y val="-0.2830260279965"/>
                </c:manualLayout>
              </c:layout>
              <c:tx>
                <c:rich>
                  <a:bodyPr rot="0" spcFirstLastPara="1" vertOverflow="ellipsis" vert="horz" wrap="square" lIns="38100" tIns="19050" rIns="38100" bIns="19050" anchor="ctr" anchorCtr="1"/>
                  <a:lstStyle/>
                  <a:p>
                    <a:fld id="{85416dee-df77-41a9-90c8-fe30a6e0cd18}" type="CATEGORYNAME">
                      <a:t>[CATEGORY NAME]</a:t>
                    </a:fld>
                    <a:r>
                      <a:t>,</a:t>
                    </a:r>
                    <a:fld id="{c8f9404d-5d20-45cd-a080-92936bafb57b}"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ext>
              </c:extLst>
            </c:dLbl>
            <c:dLbl>
              <c:idx val="2"/>
              <c:layout>
                <c:manualLayout>
                  <c:x val="0.121224969817075"/>
                  <c:y val="0.114421478565179"/>
                </c:manualLayout>
              </c:layout>
              <c:tx>
                <c:rich>
                  <a:bodyPr rot="0" spcFirstLastPara="1" vertOverflow="ellipsis" vert="horz" wrap="square" lIns="38100" tIns="19050" rIns="38100" bIns="19050" anchor="ctr" anchorCtr="1"/>
                  <a:lstStyle/>
                  <a:p>
                    <a:fld id="{5d224ba0-e246-4ff1-a5b9-667c54ee4dae}" type="CATEGORYNAME">
                      <a:t>[CATEGORY NAME]</a:t>
                    </a:fld>
                    <a:r>
                      <a:t>,</a:t>
                    </a:r>
                    <a:fld id="{31a896e4-3418-4284-9247-b4258a3920b1}"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Sheet3!$B$2:$B$4</c:f>
              <c:strCache>
                <c:ptCount val="3"/>
                <c:pt idx="0">
                  <c:v>线上综合成绩</c:v>
                </c:pt>
                <c:pt idx="1">
                  <c:v>线下综合成绩</c:v>
                </c:pt>
                <c:pt idx="2">
                  <c:v>期末考试</c:v>
                </c:pt>
              </c:strCache>
            </c:strRef>
          </c:cat>
          <c:val>
            <c:numRef>
              <c:f>Sheet3!$C$2:$C$4</c:f>
              <c:numCache>
                <c:formatCode>0%</c:formatCode>
                <c:ptCount val="3"/>
                <c:pt idx="0">
                  <c:v>0.4</c:v>
                </c:pt>
                <c:pt idx="1">
                  <c:v>0.35</c:v>
                </c:pt>
                <c:pt idx="2">
                  <c:v>0.25</c:v>
                </c:pt>
              </c:numCache>
            </c:numRef>
          </c:val>
        </c:ser>
        <c:dLbls>
          <c:showLegendKey val="0"/>
          <c:showVal val="0"/>
          <c:showCatName val="1"/>
          <c:showSerName val="0"/>
          <c:showPercent val="0"/>
          <c:showBubbleSize val="0"/>
        </c:dLbls>
      </c:pie3DChart>
      <c:spPr>
        <a:noFill/>
        <a:ln>
          <a:noFill/>
        </a:ln>
        <a:effectLst/>
      </c:spPr>
    </c:plotArea>
    <c:legend>
      <c:legendPos val="b"/>
      <c:layout>
        <c:manualLayout>
          <c:xMode val="edge"/>
          <c:yMode val="edge"/>
          <c:x val="0.171678477690289"/>
          <c:y val="0.838541119860017"/>
          <c:w val="0.676595766438286"/>
          <c:h val="0.0829447928741028"/>
        </c:manualLayout>
      </c:layout>
      <c:overlay val="0"/>
      <c:spPr>
        <a:solidFill>
          <a:schemeClr val="lt1">
            <a:alpha val="78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900" b="1" i="0" u="none" strike="noStrike" kern="1200" baseline="0">
                <a:solidFill>
                  <a:schemeClr val="dk1">
                    <a:lumMod val="65000"/>
                    <a:lumOff val="35000"/>
                  </a:schemeClr>
                </a:solidFill>
                <a:latin typeface="+mn-lt"/>
                <a:ea typeface="+mn-ea"/>
                <a:cs typeface="+mn-cs"/>
              </a:defRPr>
            </a:pPr>
            <a:r>
              <a:rPr lang="zh-CN" sz="900"/>
              <a:t>线上综合成绩</a:t>
            </a:r>
            <a:r>
              <a:rPr lang="zh-CN" altLang="en-US" sz="900"/>
              <a:t>构成及比例</a:t>
            </a:r>
            <a:endParaRPr lang="zh-CN" sz="900"/>
          </a:p>
        </c:rich>
      </c:tx>
      <c:layout>
        <c:manualLayout>
          <c:xMode val="edge"/>
          <c:yMode val="edge"/>
          <c:x val="0.352728487355552"/>
          <c:y val="0.0462962712113677"/>
        </c:manualLayout>
      </c:layout>
      <c:overlay val="0"/>
      <c:spPr>
        <a:noFill/>
        <a:ln>
          <a:noFill/>
        </a:ln>
        <a:effectLst/>
      </c:spPr>
    </c:title>
    <c:autoTitleDeleted val="0"/>
    <c:view3D>
      <c:rotX val="50"/>
      <c:rotY val="0"/>
      <c:depthPercent val="100"/>
      <c:rAngAx val="0"/>
      <c:perspective val="60"/>
    </c:view3D>
    <c:floor>
      <c:thickness val="0"/>
      <c:spPr>
        <a:noFill/>
        <a:ln>
          <a:noFill/>
        </a:ln>
        <a:effectLst/>
      </c:spPr>
    </c:floor>
    <c:sideWall>
      <c:thickness val="0"/>
      <c:spPr>
        <a:noFill/>
        <a:ln>
          <a:noFill/>
        </a:ln>
        <a:effectLst/>
      </c:spPr>
    </c:sideWall>
    <c:backWall>
      <c:thickness val="0"/>
      <c:spPr>
        <a:noFill/>
        <a:ln>
          <a:noFill/>
        </a:ln>
        <a:effectLst/>
      </c:spPr>
    </c:backWall>
    <c:plotArea>
      <c:layout>
        <c:manualLayout>
          <c:layoutTarget val="inner"/>
          <c:xMode val="edge"/>
          <c:yMode val="edge"/>
          <c:x val="0.0442172170789001"/>
          <c:y val="0.157286802654215"/>
          <c:w val="0.939201326516512"/>
          <c:h val="0.671294577978687"/>
        </c:manualLayout>
      </c:layout>
      <c:pie3DChart>
        <c:varyColors val="1"/>
        <c:ser>
          <c:idx val="0"/>
          <c:order val="0"/>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3"/>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4"/>
            <c:bubble3D val="0"/>
            <c:spPr>
              <a:solidFill>
                <a:schemeClr val="accent5"/>
              </a:solidFill>
              <a:ln>
                <a:noFill/>
              </a:ln>
              <a:effectLst>
                <a:outerShdw blurRad="88900" sx="102000" sy="102000" algn="ctr" rotWithShape="0">
                  <a:prstClr val="black">
                    <a:alpha val="20000"/>
                  </a:prstClr>
                </a:outerShdw>
              </a:effectLst>
              <a:scene3d>
                <a:camera prst="orthographicFront"/>
                <a:lightRig rig="threePt" dir="t"/>
              </a:scene3d>
              <a:sp3d prstMaterial="matte"/>
            </c:spPr>
          </c:dPt>
          <c:dLbls>
            <c:dLbl>
              <c:idx val="0"/>
              <c:layout>
                <c:manualLayout>
                  <c:x val="-0.109436132983377"/>
                  <c:y val="0.131894047368708"/>
                </c:manualLayout>
              </c:layout>
              <c:tx>
                <c:rich>
                  <a:bodyPr rot="0" spcFirstLastPara="1" vertOverflow="ellipsis" vert="horz" wrap="square" lIns="38100" tIns="19050" rIns="38100" bIns="19050" anchor="ctr" anchorCtr="1"/>
                  <a:lstStyle/>
                  <a:p>
                    <a:fld id="{e388a945-66ad-44f3-a62f-62c368c3f838}" type="CATEGORYNAME">
                      <a:t>[CATEGORY NAME]</a:t>
                    </a:fld>
                    <a:r>
                      <a:t>,</a:t>
                    </a:r>
                    <a:fld id="{a7c11cb7-4dc9-476d-acec-cb065ea6f40a}"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0.175506124234471"/>
                  <c:y val="-0.135122705359159"/>
                </c:manualLayout>
              </c:layout>
              <c:tx>
                <c:rich>
                  <a:bodyPr rot="0" spcFirstLastPara="1" vertOverflow="ellipsis" vert="horz" wrap="square" lIns="38100" tIns="19050" rIns="38100" bIns="19050" anchor="ctr" anchorCtr="1"/>
                  <a:lstStyle/>
                  <a:p>
                    <a:fld id="{54029580-44fe-4cdb-8cd8-a41eca3e6532}" type="CATEGORYNAME">
                      <a:t>[CATEGORY NAME]</a:t>
                    </a:fld>
                    <a:r>
                      <a:t>,</a:t>
                    </a:r>
                    <a:fld id="{dae3d886-7e21-4591-99f5-efe4d0d511d6}"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ext>
              </c:extLst>
            </c:dLbl>
            <c:dLbl>
              <c:idx val="2"/>
              <c:layout>
                <c:manualLayout>
                  <c:x val="0.131254046369204"/>
                  <c:y val="-0.243722789473274"/>
                </c:manualLayout>
              </c:layout>
              <c:tx>
                <c:rich>
                  <a:bodyPr rot="0" spcFirstLastPara="1" vertOverflow="ellipsis" vert="horz" wrap="square" lIns="38100" tIns="19050" rIns="38100" bIns="19050" anchor="ctr" anchorCtr="1"/>
                  <a:lstStyle/>
                  <a:p>
                    <a:fld id="{3231df25-a53d-4308-b14d-d8dde3864207}" type="CATEGORYNAME">
                      <a:t>[CATEGORY NAME]</a:t>
                    </a:fld>
                    <a:r>
                      <a:t>,</a:t>
                    </a:r>
                    <a:fld id="{849acc4e-35f8-4a2d-8bbb-d5111b28e682}"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manualLayout>
                      <c:w val="0.172708442694663"/>
                      <c:h val="0.0680555555555555"/>
                    </c:manualLayout>
                  </c15:layout>
                </c:ext>
              </c:extLst>
            </c:dLbl>
            <c:dLbl>
              <c:idx val="3"/>
              <c:layout/>
              <c:tx>
                <c:rich>
                  <a:bodyPr rot="0" spcFirstLastPara="1" vertOverflow="ellipsis" vert="horz" wrap="square" lIns="38100" tIns="19050" rIns="38100" bIns="19050" anchor="ctr" anchorCtr="1"/>
                  <a:lstStyle/>
                  <a:p>
                    <a:fld id="{0a153977-b440-46c9-99fc-19bfdb2169c6}" type="CATEGORYNAME">
                      <a:t>[CATEGORY NAME]</a:t>
                    </a:fld>
                    <a:r>
                      <a:t>,</a:t>
                    </a:r>
                    <a:fld id="{60edbc41-66ca-4857-a417-62da5cd54df0}" type="VALUE">
                      <a:t>[VALUE]</a:t>
                    </a:fld>
                    <a:endParaRPr lang="zh-CN" altLang="en-US" b="0" i="0" u="none" strike="noStrike" baseline="0">
                      <a:latin typeface="Times New Roman" panose="02020603050405020304" charset="0"/>
                      <a:ea typeface="Times New Roman" panose="02020603050405020304" charset="0"/>
                      <a:cs typeface="+mn-ea"/>
                    </a:endParaRPr>
                  </a:p>
                </c:rich>
              </c:tx>
              <c:dLblPos val="inEnd"/>
              <c:showLegendKey val="0"/>
              <c:showVal val="1"/>
              <c:showCatName val="1"/>
              <c:showSerName val="0"/>
              <c:showPercent val="1"/>
              <c:showBubbleSize val="0"/>
              <c:extLst>
                <c:ext xmlns:c15="http://schemas.microsoft.com/office/drawing/2012/chart" uri="{CE6537A1-D6FC-4f65-9D91-7224C49458BB}"/>
              </c:extLst>
            </c:dLbl>
            <c:dLbl>
              <c:idx val="4"/>
              <c:layout>
                <c:manualLayout>
                  <c:x val="0.125386920384952"/>
                  <c:y val="0.154975194124473"/>
                </c:manualLayout>
              </c:layout>
              <c:tx>
                <c:rich>
                  <a:bodyPr rot="0" spcFirstLastPara="1" vertOverflow="ellipsis" vert="horz" wrap="square" lIns="38100" tIns="19050" rIns="38100" bIns="19050" anchor="ctr" anchorCtr="1"/>
                  <a:lstStyle/>
                  <a:p>
                    <a:fld id="{b8c10ef6-d088-47de-b029-925c59ed8af9}" type="CATEGORYNAME">
                      <a:t>[CATEGORY NAME]</a:t>
                    </a:fld>
                    <a:r>
                      <a:t>,</a:t>
                    </a:r>
                    <a:fld id="{adb2ecb0-514d-45df-bf2d-12f63c9db9db}" type="VALUE">
                      <a:t>[VALUE]</a:t>
                    </a:fld>
                    <a:endParaRPr lang="zh-CN" altLang="en-US" sz="900" b="0" i="0" u="none" strike="noStrike" baseline="0">
                      <a:latin typeface="Times New Roman" panose="02020603050405020304" charset="0"/>
                      <a:ea typeface="Times New Roman" panose="02020603050405020304" charset="0"/>
                      <a:cs typeface="+mn-ea"/>
                    </a:endParaRPr>
                  </a:p>
                </c:rich>
              </c:tx>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lt"/>
                    <a:ea typeface="+mn-ea"/>
                    <a:cs typeface="+mn-cs"/>
                  </a:defRPr>
                </a:pPr>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Sheet3!$B$7:$B$11</c:f>
              <c:strCache>
                <c:ptCount val="5"/>
                <c:pt idx="0">
                  <c:v>观看视频</c:v>
                </c:pt>
                <c:pt idx="1">
                  <c:v>章节测验</c:v>
                </c:pt>
                <c:pt idx="2">
                  <c:v>单元作业</c:v>
                </c:pt>
                <c:pt idx="3">
                  <c:v>互动讨论</c:v>
                </c:pt>
                <c:pt idx="4">
                  <c:v>线上期末考试</c:v>
                </c:pt>
              </c:strCache>
            </c:strRef>
          </c:cat>
          <c:val>
            <c:numRef>
              <c:f>Sheet3!$C$7:$C$11</c:f>
              <c:numCache>
                <c:formatCode>0%</c:formatCode>
                <c:ptCount val="5"/>
                <c:pt idx="0">
                  <c:v>0.2</c:v>
                </c:pt>
                <c:pt idx="1">
                  <c:v>0.25</c:v>
                </c:pt>
                <c:pt idx="2">
                  <c:v>0.25</c:v>
                </c:pt>
                <c:pt idx="3">
                  <c:v>0.1</c:v>
                </c:pt>
                <c:pt idx="4">
                  <c:v>0.2</c:v>
                </c:pt>
              </c:numCache>
            </c:numRef>
          </c:val>
        </c:ser>
        <c:dLbls>
          <c:showLegendKey val="0"/>
          <c:showVal val="0"/>
          <c:showCatName val="0"/>
          <c:showSerName val="0"/>
          <c:showPercent val="1"/>
          <c:showBubbleSize val="0"/>
        </c:dLbls>
      </c:pie3DChart>
      <c:spPr>
        <a:noFill/>
        <a:ln>
          <a:noFill/>
        </a:ln>
        <a:effectLst/>
      </c:spPr>
    </c:plotArea>
    <c:legend>
      <c:legendPos val="b"/>
      <c:layout>
        <c:manualLayout>
          <c:xMode val="edge"/>
          <c:yMode val="edge"/>
          <c:x val="0.093167760279965"/>
          <c:y val="0.829281860600758"/>
          <c:w val="0.820558829897541"/>
          <c:h val="0.0829447928741028"/>
        </c:manualLayout>
      </c:layout>
      <c:overlay val="0"/>
      <c:spPr>
        <a:solidFill>
          <a:schemeClr val="lt1">
            <a:alpha val="78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900" b="1" i="0" u="none" strike="noStrike" kern="1200" baseline="0">
                <a:solidFill>
                  <a:schemeClr val="dk1">
                    <a:lumMod val="65000"/>
                    <a:lumOff val="35000"/>
                  </a:schemeClr>
                </a:solidFill>
                <a:latin typeface="+mn-lt"/>
                <a:ea typeface="+mn-ea"/>
                <a:cs typeface="+mn-cs"/>
              </a:defRPr>
            </a:pPr>
            <a:r>
              <a:rPr lang="zh-CN" sz="900"/>
              <a:t>线下综合成绩</a:t>
            </a:r>
            <a:endParaRPr lang="zh-CN" sz="900"/>
          </a:p>
        </c:rich>
      </c:tx>
      <c:layout>
        <c:manualLayout>
          <c:xMode val="edge"/>
          <c:yMode val="edge"/>
          <c:x val="0.41637489063867"/>
          <c:y val="0.0555555555555556"/>
        </c:manualLayout>
      </c:layout>
      <c:overlay val="0"/>
      <c:spPr>
        <a:noFill/>
        <a:ln>
          <a:noFill/>
        </a:ln>
        <a:effectLst/>
      </c:spPr>
    </c:title>
    <c:autoTitleDeleted val="0"/>
    <c:view3D>
      <c:rotX val="50"/>
      <c:rotY val="0"/>
      <c:depthPercent val="100"/>
      <c:rAngAx val="0"/>
      <c:perspective val="60"/>
    </c:view3D>
    <c:floor>
      <c:thickness val="0"/>
      <c:spPr>
        <a:noFill/>
        <a:ln>
          <a:noFill/>
        </a:ln>
        <a:effectLst/>
      </c:spPr>
    </c:floor>
    <c:sideWall>
      <c:thickness val="0"/>
      <c:spPr>
        <a:noFill/>
        <a:ln>
          <a:noFill/>
        </a:ln>
        <a:effectLst/>
      </c:spPr>
    </c:sideWall>
    <c:backWall>
      <c:thickness val="0"/>
      <c:spPr>
        <a:noFill/>
        <a:ln>
          <a:noFill/>
        </a:ln>
        <a:effectLst/>
      </c:spPr>
    </c:backWall>
    <c:plotArea>
      <c:layout/>
      <c:pie3DChart>
        <c:varyColors val="1"/>
        <c:ser>
          <c:idx val="0"/>
          <c:order val="0"/>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dPt>
          <c:dLbls>
            <c:dLbl>
              <c:idx val="0"/>
              <c:layout>
                <c:manualLayout>
                  <c:x val="-0.0831274316979377"/>
                  <c:y val="0.145499271066935"/>
                </c:manualLayout>
              </c:layout>
              <c:numFmt formatCode="General" sourceLinked="1"/>
              <c:spPr>
                <a:noFill/>
                <a:ln>
                  <a:noFill/>
                </a:ln>
                <a:effectLst/>
              </c:spPr>
              <c:txPr>
                <a:bodyPr rot="0" spcFirstLastPara="1" vertOverflow="ellipsis" vert="horz" wrap="square" lIns="38100" tIns="19050" rIns="38100" bIns="19050" anchor="ctr" anchorCtr="1">
                  <a:noAutofit/>
                </a:bodyPr>
                <a:lstStyle/>
                <a:p>
                  <a:pPr>
                    <a:defRPr lang="zh-CN" sz="900" b="1" i="0" u="none" strike="noStrike" kern="1200" baseline="0">
                      <a:solidFill>
                        <a:schemeClr val="lt1"/>
                      </a:solidFill>
                      <a:latin typeface="+mn-ea"/>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55362888930538"/>
                      <c:h val="0.138739618954568"/>
                    </c:manualLayout>
                  </c15:layout>
                </c:ext>
              </c:extLst>
            </c:dLbl>
            <c:dLbl>
              <c:idx val="1"/>
              <c:layout>
                <c:manualLayout>
                  <c:x val="-0.2223947944007"/>
                  <c:y val="-0.169667177019539"/>
                </c:manualLayout>
              </c:layout>
              <c:tx>
                <c:rich>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ea"/>
                        <a:ea typeface="+mn-ea"/>
                        <a:cs typeface="+mn-cs"/>
                      </a:defRPr>
                    </a:pPr>
                    <a:r>
                      <a:rPr lang="zh-CN" altLang="en-US"/>
                      <a:t>课题设计调研及</a:t>
                    </a:r>
                    <a:endParaRPr lang="zh-CN" altLang="en-US"/>
                  </a:p>
                  <a:p>
                    <a:pPr>
                      <a:defRPr lang="zh-CN" sz="900" b="1" i="0" u="none" strike="noStrike" kern="1200" baseline="0">
                        <a:solidFill>
                          <a:schemeClr val="lt1"/>
                        </a:solidFill>
                        <a:latin typeface="+mn-ea"/>
                        <a:ea typeface="+mn-ea"/>
                        <a:cs typeface="+mn-cs"/>
                      </a:defRPr>
                    </a:pPr>
                    <a:r>
                      <a:rPr lang="zh-CN" altLang="en-US"/>
                      <a:t>创意方案</a:t>
                    </a:r>
                    <a:r>
                      <a:rPr lang="en-US" altLang="zh-CN"/>
                      <a:t>50%</a:t>
                    </a:r>
                    <a:endParaRPr lang="en-US" altLang="zh-CN"/>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ea"/>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tx>
                <c:rich>
                  <a:bodyPr rot="0" spcFirstLastPara="1" vertOverflow="ellipsis" vert="horz" wrap="square" lIns="38100" tIns="19050" rIns="38100" bIns="19050" anchor="ctr" anchorCtr="1">
                    <a:spAutoFit/>
                  </a:bodyPr>
                  <a:lstStyle/>
                  <a:p>
                    <a:fld id="{0aeb46e9-4a28-4182-a88e-b462c026a8fd}" type="CATEGORYNAME">
                      <a:t>[CATEGORY NAME]</a:t>
                    </a:fld>
                    <a:endParaRPr lang="zh-CN" altLang="en-US" b="0" i="0" u="none" strike="noStrike" baseline="0">
                      <a:latin typeface="+mn-ea"/>
                      <a:ea typeface="+mn-ea"/>
                      <a:cs typeface="+mn-ea"/>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ea"/>
                      <a:ea typeface="+mn-ea"/>
                      <a:cs typeface="+mn-cs"/>
                    </a:defRPr>
                  </a:pPr>
                </a:p>
              </c:txPr>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Sheet3!$B$30:$B$32</c:f>
              <c:strCache>
                <c:ptCount val="3"/>
                <c:pt idx="0">
                  <c:v>考勤及互动</c:v>
                </c:pt>
                <c:pt idx="1">
                  <c:v>课题设计过程评价</c:v>
                </c:pt>
                <c:pt idx="2">
                  <c:v>课题设计最终效果</c:v>
                </c:pt>
              </c:strCache>
            </c:strRef>
          </c:cat>
          <c:val>
            <c:numRef>
              <c:f>Sheet3!$C$30:$C$32</c:f>
              <c:numCache>
                <c:formatCode>0%</c:formatCode>
                <c:ptCount val="3"/>
                <c:pt idx="0">
                  <c:v>0.1</c:v>
                </c:pt>
                <c:pt idx="1">
                  <c:v>0.5</c:v>
                </c:pt>
                <c:pt idx="2">
                  <c:v>0.4</c:v>
                </c:pt>
              </c:numCache>
            </c:numRef>
          </c:val>
        </c:ser>
        <c:dLbls>
          <c:showLegendKey val="0"/>
          <c:showVal val="0"/>
          <c:showCatName val="1"/>
          <c:showSerName val="0"/>
          <c:showPercent val="0"/>
          <c:showBubbleSize val="0"/>
        </c:dLbls>
      </c:pie3DChart>
      <c:spPr>
        <a:noFill/>
        <a:ln>
          <a:noFill/>
        </a:ln>
        <a:effectLst/>
      </c:spPr>
    </c:plotArea>
    <c:legend>
      <c:legendPos val="b"/>
      <c:layout>
        <c:manualLayout>
          <c:xMode val="edge"/>
          <c:yMode val="edge"/>
          <c:x val="0.127234033245844"/>
          <c:y val="0.843170749489647"/>
          <c:w val="0.728865266841645"/>
          <c:h val="0.0781255468066492"/>
        </c:manualLayout>
      </c:layout>
      <c:overlay val="0"/>
      <c:spPr>
        <a:solidFill>
          <a:schemeClr val="lt1">
            <a:alpha val="78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900" b="1" i="0" u="none" strike="noStrike" kern="1200" baseline="0">
                <a:solidFill>
                  <a:schemeClr val="dk1">
                    <a:lumMod val="65000"/>
                    <a:lumOff val="35000"/>
                  </a:schemeClr>
                </a:solidFill>
                <a:latin typeface="+mn-lt"/>
                <a:ea typeface="+mn-ea"/>
                <a:cs typeface="+mn-cs"/>
              </a:defRPr>
            </a:pPr>
            <a:r>
              <a:rPr lang="zh-CN" altLang="en-US" sz="900"/>
              <a:t>实验课程成绩</a:t>
            </a:r>
            <a:endParaRPr lang="zh-CN" sz="900"/>
          </a:p>
        </c:rich>
      </c:tx>
      <c:layout/>
      <c:overlay val="0"/>
      <c:spPr>
        <a:noFill/>
        <a:ln>
          <a:noFill/>
        </a:ln>
        <a:effectLst/>
      </c:spPr>
    </c:title>
    <c:autoTitleDeleted val="0"/>
    <c:view3D>
      <c:rotX val="50"/>
      <c:rotY val="0"/>
      <c:depthPercent val="100"/>
      <c:rAngAx val="0"/>
      <c:perspective val="60"/>
    </c:view3D>
    <c:floor>
      <c:thickness val="0"/>
      <c:spPr>
        <a:noFill/>
        <a:ln>
          <a:noFill/>
        </a:ln>
        <a:effectLst/>
      </c:spPr>
    </c:floor>
    <c:sideWall>
      <c:thickness val="0"/>
      <c:spPr>
        <a:noFill/>
        <a:ln>
          <a:noFill/>
        </a:ln>
        <a:effectLst/>
      </c:spPr>
    </c:sideWall>
    <c:backWall>
      <c:thickness val="0"/>
      <c:spPr>
        <a:noFill/>
        <a:ln>
          <a:noFill/>
        </a:ln>
        <a:effectLst/>
      </c:spPr>
    </c:backWall>
    <c:plotArea>
      <c:layout/>
      <c:pie3DChart>
        <c:varyColors val="1"/>
        <c:ser>
          <c:idx val="0"/>
          <c:order val="0"/>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1"/>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dPt>
          <c:dPt>
            <c:idx val="2"/>
            <c:bubble3D val="0"/>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prstMaterial="matte"/>
            </c:spPr>
          </c:dPt>
          <c:dLbls>
            <c:dLbl>
              <c:idx val="0"/>
              <c:layout>
                <c:manualLayout>
                  <c:x val="-0.117634076990376"/>
                  <c:y val="0.145083843686206"/>
                </c:manualLayout>
              </c:layout>
              <c:tx>
                <c:rich>
                  <a:bodyPr rot="0" spcFirstLastPara="1" vertOverflow="ellipsis" vert="horz" wrap="square" lIns="38100" tIns="19050" rIns="38100" bIns="19050" anchor="ctr" anchorCtr="1">
                    <a:spAutoFit/>
                  </a:bodyPr>
                  <a:lstStyle/>
                  <a:p>
                    <a:fld id="{fb47a54f-43cd-4ea6-b4cb-b98c79a68653}" type="CATEGORYNAME">
                      <a:t>[CATEGORY NAME]</a:t>
                    </a:fld>
                    <a:r>
                      <a:t>,</a:t>
                    </a:r>
                    <a:fld id="{436939fc-e381-48d5-9b57-e269954b6722}" type="VALUE">
                      <a:t>[VALUE]</a:t>
                    </a:fld>
                    <a:endParaRPr lang="zh-CN" altLang="en-US" b="0" i="0" u="none" strike="noStrike" baseline="0">
                      <a:latin typeface="+mn-ea"/>
                      <a:ea typeface="+mn-ea"/>
                      <a:cs typeface="+mn-ea"/>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ea"/>
                      <a:ea typeface="+mn-ea"/>
                      <a:cs typeface="+mn-cs"/>
                    </a:defRPr>
                  </a:pPr>
                </a:p>
              </c:txPr>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0.189424978127734"/>
                  <c:y val="-0.184395960921552"/>
                </c:manualLayout>
              </c:layout>
              <c:tx>
                <c:rich>
                  <a:bodyPr rot="0" spcFirstLastPara="1" vertOverflow="ellipsis" vert="horz" wrap="square" lIns="38100" tIns="19050" rIns="38100" bIns="19050" anchor="ctr" anchorCtr="1">
                    <a:spAutoFit/>
                  </a:bodyPr>
                  <a:lstStyle/>
                  <a:p>
                    <a:fld id="{449b1fba-9206-458c-b8af-e339d64898e9}" type="CATEGORYNAME">
                      <a:t>[CATEGORY NAME]</a:t>
                    </a:fld>
                    <a:r>
                      <a:t>,</a:t>
                    </a:r>
                    <a:fld id="{de46cb75-7215-4bc1-b78f-7edf59b9fd85}" type="VALUE">
                      <a:t>[VALUE]</a:t>
                    </a:fld>
                    <a:endParaRPr lang="zh-CN" altLang="en-US" b="0" i="0" u="none" strike="noStrike" baseline="0">
                      <a:latin typeface="+mn-ea"/>
                      <a:ea typeface="+mn-ea"/>
                      <a:cs typeface="+mn-ea"/>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ea"/>
                      <a:ea typeface="+mn-ea"/>
                      <a:cs typeface="+mn-cs"/>
                    </a:defRPr>
                  </a:pPr>
                </a:p>
              </c:txPr>
              <c:dLblPos val="bestFit"/>
              <c:showLegendKey val="0"/>
              <c:showVal val="1"/>
              <c:showCatName val="1"/>
              <c:showSerName val="0"/>
              <c:showPercent val="1"/>
              <c:showBubbleSize val="0"/>
              <c:extLst>
                <c:ext xmlns:c15="http://schemas.microsoft.com/office/drawing/2012/chart" uri="{CE6537A1-D6FC-4f65-9D91-7224C49458BB}">
                  <c15:layout/>
                </c:ext>
              </c:extLst>
            </c:dLbl>
            <c:dLbl>
              <c:idx val="2"/>
              <c:layout>
                <c:manualLayout>
                  <c:x val="0.166999125109361"/>
                  <c:y val="-0.0310385680956547"/>
                </c:manualLayout>
              </c:layout>
              <c:tx>
                <c:rich>
                  <a:bodyPr rot="0" spcFirstLastPara="1" vertOverflow="ellipsis" vert="horz" wrap="square" lIns="38100" tIns="19050" rIns="38100" bIns="19050" anchor="ctr" anchorCtr="1">
                    <a:spAutoFit/>
                  </a:bodyPr>
                  <a:lstStyle/>
                  <a:p>
                    <a:fld id="{439f5848-cd38-4d57-b95a-bf00dd20a098}" type="CATEGORYNAME">
                      <a:t>[CATEGORY NAME]</a:t>
                    </a:fld>
                    <a:r>
                      <a:t>,</a:t>
                    </a:r>
                    <a:fld id="{2253dc0d-5ddd-4b10-b960-0e67d7ce7fcc}" type="VALUE">
                      <a:t>[VALUE]</a:t>
                    </a:fld>
                    <a:endParaRPr lang="zh-CN" altLang="en-US" b="0" i="0" u="none" strike="noStrike" baseline="0">
                      <a:latin typeface="+mn-ea"/>
                      <a:ea typeface="+mn-ea"/>
                      <a:cs typeface="+mn-ea"/>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ea"/>
                      <a:ea typeface="+mn-ea"/>
                      <a:cs typeface="+mn-cs"/>
                    </a:defRPr>
                  </a:pPr>
                </a:p>
              </c:txPr>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1" i="0" u="none" strike="noStrike" kern="1200" baseline="0">
                    <a:solidFill>
                      <a:schemeClr val="lt1"/>
                    </a:solidFill>
                    <a:latin typeface="+mn-lt"/>
                    <a:ea typeface="+mn-ea"/>
                    <a:cs typeface="+mn-cs"/>
                  </a:defRPr>
                </a:pPr>
              </a:p>
            </c:txPr>
            <c:dLblPos val="in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Sheet3!$B$38:$B$40</c:f>
              <c:strCache>
                <c:ptCount val="3"/>
                <c:pt idx="0">
                  <c:v>考勤和态度</c:v>
                </c:pt>
                <c:pt idx="1">
                  <c:v>理论和操作技能</c:v>
                </c:pt>
                <c:pt idx="2">
                  <c:v>实验报告</c:v>
                </c:pt>
              </c:strCache>
            </c:strRef>
          </c:cat>
          <c:val>
            <c:numRef>
              <c:f>Sheet3!$C$38:$C$40</c:f>
              <c:numCache>
                <c:formatCode>0%</c:formatCode>
                <c:ptCount val="3"/>
                <c:pt idx="0">
                  <c:v>0.2</c:v>
                </c:pt>
                <c:pt idx="1">
                  <c:v>0.3</c:v>
                </c:pt>
                <c:pt idx="2">
                  <c:v>0.5</c:v>
                </c:pt>
              </c:numCache>
            </c:numRef>
          </c:val>
        </c:ser>
        <c:dLbls>
          <c:showLegendKey val="0"/>
          <c:showVal val="1"/>
          <c:showCatName val="0"/>
          <c:showSerName val="0"/>
          <c:showPercent val="0"/>
          <c:showBubbleSize val="0"/>
        </c:dLbls>
      </c:pie3DChart>
      <c:spPr>
        <a:noFill/>
        <a:ln>
          <a:noFill/>
        </a:ln>
        <a:effectLst/>
      </c:spPr>
    </c:plotArea>
    <c:legend>
      <c:legendPos val="b"/>
      <c:layout/>
      <c:overlay val="0"/>
      <c:spPr>
        <a:solidFill>
          <a:schemeClr val="lt1">
            <a:alpha val="78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mn-lt"/>
                <a:ea typeface="+mn-ea"/>
                <a:cs typeface="+mn-cs"/>
              </a:defRPr>
            </a:pPr>
            <a:r>
              <a:rPr lang="en-US" sz="1000"/>
              <a:t>2021-2023</a:t>
            </a:r>
            <a:r>
              <a:rPr lang="zh-CN" sz="1000"/>
              <a:t>年</a:t>
            </a:r>
            <a:r>
              <a:rPr lang="zh-CN" altLang="en-US" sz="1000"/>
              <a:t>课程</a:t>
            </a:r>
            <a:r>
              <a:rPr lang="zh-CN" sz="1000"/>
              <a:t>团队教师指导学生学科竞赛获奖情况</a:t>
            </a:r>
            <a:endParaRPr lang="zh-CN" sz="1000"/>
          </a:p>
        </c:rich>
      </c:tx>
      <c:layout>
        <c:manualLayout>
          <c:xMode val="edge"/>
          <c:yMode val="edge"/>
          <c:x val="0.175527777777778"/>
          <c:y val="0.0601851851851852"/>
        </c:manualLayout>
      </c:layout>
      <c:overlay val="0"/>
      <c:spPr>
        <a:noFill/>
        <a:ln>
          <a:noFill/>
        </a:ln>
        <a:effectLst/>
      </c:spPr>
    </c:title>
    <c:autoTitleDeleted val="0"/>
    <c:plotArea>
      <c:layout/>
      <c:barChart>
        <c:barDir val="col"/>
        <c:grouping val="clustered"/>
        <c:varyColors val="0"/>
        <c:ser>
          <c:idx val="0"/>
          <c:order val="0"/>
          <c:tx>
            <c:strRef>
              <c:f>Sheet2!$H$5</c:f>
              <c:strCache>
                <c:ptCount val="1"/>
                <c:pt idx="0">
                  <c:v>2021年</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Sheet2!$I$4:$K$4</c:f>
              <c:strCache>
                <c:ptCount val="3"/>
                <c:pt idx="0">
                  <c:v>国家级</c:v>
                </c:pt>
                <c:pt idx="1">
                  <c:v>省级</c:v>
                </c:pt>
                <c:pt idx="2">
                  <c:v>总数</c:v>
                </c:pt>
              </c:strCache>
            </c:strRef>
          </c:cat>
          <c:val>
            <c:numRef>
              <c:f>Sheet2!$I$5:$K$5</c:f>
              <c:numCache>
                <c:formatCode>General</c:formatCode>
                <c:ptCount val="3"/>
                <c:pt idx="0">
                  <c:v>12</c:v>
                </c:pt>
                <c:pt idx="1">
                  <c:v>64</c:v>
                </c:pt>
                <c:pt idx="2">
                  <c:v>76</c:v>
                </c:pt>
              </c:numCache>
            </c:numRef>
          </c:val>
        </c:ser>
        <c:ser>
          <c:idx val="1"/>
          <c:order val="1"/>
          <c:tx>
            <c:strRef>
              <c:f>Sheet2!$H$6</c:f>
              <c:strCache>
                <c:ptCount val="1"/>
                <c:pt idx="0">
                  <c:v>2022年</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Sheet2!$I$4:$K$4</c:f>
              <c:strCache>
                <c:ptCount val="3"/>
                <c:pt idx="0">
                  <c:v>国家级</c:v>
                </c:pt>
                <c:pt idx="1">
                  <c:v>省级</c:v>
                </c:pt>
                <c:pt idx="2">
                  <c:v>总数</c:v>
                </c:pt>
              </c:strCache>
            </c:strRef>
          </c:cat>
          <c:val>
            <c:numRef>
              <c:f>Sheet2!$I$6:$K$6</c:f>
              <c:numCache>
                <c:formatCode>General</c:formatCode>
                <c:ptCount val="3"/>
                <c:pt idx="0">
                  <c:v>30</c:v>
                </c:pt>
                <c:pt idx="1">
                  <c:v>58</c:v>
                </c:pt>
                <c:pt idx="2">
                  <c:v>88</c:v>
                </c:pt>
              </c:numCache>
            </c:numRef>
          </c:val>
        </c:ser>
        <c:ser>
          <c:idx val="2"/>
          <c:order val="2"/>
          <c:tx>
            <c:strRef>
              <c:f>Sheet2!$H$7</c:f>
              <c:strCache>
                <c:ptCount val="1"/>
                <c:pt idx="0">
                  <c:v>2023年</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Sheet2!$I$4:$K$4</c:f>
              <c:strCache>
                <c:ptCount val="3"/>
                <c:pt idx="0">
                  <c:v>国家级</c:v>
                </c:pt>
                <c:pt idx="1">
                  <c:v>省级</c:v>
                </c:pt>
                <c:pt idx="2">
                  <c:v>总数</c:v>
                </c:pt>
              </c:strCache>
            </c:strRef>
          </c:cat>
          <c:val>
            <c:numRef>
              <c:f>Sheet2!$I$7:$K$7</c:f>
              <c:numCache>
                <c:formatCode>General</c:formatCode>
                <c:ptCount val="3"/>
                <c:pt idx="0">
                  <c:v>62</c:v>
                </c:pt>
                <c:pt idx="1">
                  <c:v>141</c:v>
                </c:pt>
                <c:pt idx="2">
                  <c:v>203</c:v>
                </c:pt>
              </c:numCache>
            </c:numRef>
          </c:val>
        </c:ser>
        <c:dLbls>
          <c:showLegendKey val="0"/>
          <c:showVal val="1"/>
          <c:showCatName val="0"/>
          <c:showSerName val="0"/>
          <c:showPercent val="0"/>
          <c:showBubbleSize val="0"/>
        </c:dLbls>
        <c:gapWidth val="150"/>
        <c:axId val="595160111"/>
        <c:axId val="789411615"/>
      </c:barChart>
      <c:catAx>
        <c:axId val="595160111"/>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9411615"/>
        <c:crosses val="autoZero"/>
        <c:auto val="1"/>
        <c:lblAlgn val="ctr"/>
        <c:lblOffset val="100"/>
        <c:noMultiLvlLbl val="0"/>
      </c:catAx>
      <c:valAx>
        <c:axId val="7894116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5160111"/>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1552</Words>
  <Characters>8850</Characters>
  <Lines>73</Lines>
  <Paragraphs>20</Paragraphs>
  <TotalTime>147</TotalTime>
  <ScaleCrop>false</ScaleCrop>
  <LinksUpToDate>false</LinksUpToDate>
  <CharactersWithSpaces>10382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2023-12-14T03:37:00Z</dcterms:created>
  <dc:creator>hep</dc:creator>
  <cp:lastModifiedBy>万懿</cp:lastModifiedBy>
  <dcterms:modified xsi:type="dcterms:W3CDTF">2023-12-19T07:30:39Z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1AF778E5AAD44FE1A0175F09D197F4D6</vt:lpwstr>
  </property>
</Properties>
</file>